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400" w:rsidRDefault="000A5813" w:rsidP="00461400">
      <w:pPr>
        <w:jc w:val="center"/>
      </w:pPr>
      <w:r>
        <w:fldChar w:fldCharType="begin"/>
      </w:r>
      <w:r>
        <w:instrText xml:space="preserve"> HYPERLINK "http://kennesaw.edu/" </w:instrText>
      </w:r>
      <w:r>
        <w:fldChar w:fldCharType="separate"/>
      </w:r>
      <w:r w:rsidR="00461400" w:rsidRPr="000A5813">
        <w:rPr>
          <w:rStyle w:val="Hyperlink"/>
        </w:rPr>
        <w:t>Kennesaw State University</w:t>
      </w:r>
      <w:r>
        <w:fldChar w:fldCharType="end"/>
      </w:r>
      <w:r w:rsidR="00461400">
        <w:t xml:space="preserve"> | </w:t>
      </w:r>
      <w:hyperlink r:id="rId5" w:history="1">
        <w:r w:rsidR="00461400" w:rsidRPr="000A5813">
          <w:rPr>
            <w:rStyle w:val="Hyperlink"/>
          </w:rPr>
          <w:t>College of Humanities and Social Sciences</w:t>
        </w:r>
      </w:hyperlink>
    </w:p>
    <w:p w:rsidR="00FD2F66" w:rsidRDefault="00681BA7" w:rsidP="00461400">
      <w:pPr>
        <w:jc w:val="center"/>
      </w:pPr>
      <w:hyperlink r:id="rId6" w:history="1">
        <w:r w:rsidR="00461400" w:rsidRPr="000A5813">
          <w:rPr>
            <w:rStyle w:val="Hyperlink"/>
          </w:rPr>
          <w:t>Department of Technical Communication and Interactive Design</w:t>
        </w:r>
      </w:hyperlink>
    </w:p>
    <w:p w:rsidR="00461400" w:rsidRDefault="00461400" w:rsidP="00461400"/>
    <w:p w:rsidR="00461400" w:rsidRDefault="00461400" w:rsidP="00461400">
      <w:pPr>
        <w:pStyle w:val="Title"/>
        <w:pBdr>
          <w:bottom w:val="double" w:sz="6" w:space="1" w:color="auto"/>
        </w:pBdr>
        <w:jc w:val="center"/>
      </w:pPr>
      <w:r>
        <w:t>TCOM 2010: Technical Writing Syllabus</w:t>
      </w:r>
    </w:p>
    <w:p w:rsidR="00461400" w:rsidRDefault="00461400" w:rsidP="00461400">
      <w:pPr>
        <w:pStyle w:val="Heading1"/>
      </w:pPr>
      <w:r>
        <w:t>Meeting Times</w:t>
      </w:r>
    </w:p>
    <w:p w:rsidR="00461400" w:rsidRDefault="00461400" w:rsidP="00461400">
      <w:pPr>
        <w:ind w:left="720"/>
      </w:pPr>
      <w:r>
        <w:t>This course takes place 100% online. We will not meet in class.</w:t>
      </w:r>
    </w:p>
    <w:p w:rsidR="00461400" w:rsidRDefault="00461400" w:rsidP="00461400">
      <w:pPr>
        <w:pStyle w:val="Heading1"/>
      </w:pPr>
      <w:r>
        <w:t>Contact Information</w:t>
      </w:r>
    </w:p>
    <w:p w:rsidR="00461400" w:rsidRDefault="00461400" w:rsidP="00325116">
      <w:pPr>
        <w:pStyle w:val="Heading2"/>
      </w:pPr>
      <w:r>
        <w:t>Ms. Tiffani Reardon</w:t>
      </w:r>
    </w:p>
    <w:p w:rsidR="00461400" w:rsidRDefault="00461400" w:rsidP="00461400">
      <w:pPr>
        <w:ind w:left="720"/>
      </w:pPr>
      <w:r>
        <w:t xml:space="preserve">Email: </w:t>
      </w:r>
      <w:hyperlink r:id="rId7" w:history="1">
        <w:r w:rsidRPr="002152AA">
          <w:rPr>
            <w:rStyle w:val="Hyperlink"/>
          </w:rPr>
          <w:t>treardo2@kennesaw.edu</w:t>
        </w:r>
      </w:hyperlink>
    </w:p>
    <w:p w:rsidR="00461400" w:rsidRDefault="00461400" w:rsidP="00461400">
      <w:pPr>
        <w:ind w:left="720"/>
      </w:pPr>
      <w:r>
        <w:t>Office: K-Campus SO 5007B</w:t>
      </w:r>
    </w:p>
    <w:p w:rsidR="00461400" w:rsidRDefault="00461400" w:rsidP="00C2694A">
      <w:pPr>
        <w:ind w:left="720"/>
      </w:pPr>
      <w:r>
        <w:t>Phone: 470-578-7923</w:t>
      </w:r>
    </w:p>
    <w:p w:rsidR="00461400" w:rsidRDefault="00461400" w:rsidP="00461400">
      <w:pPr>
        <w:ind w:left="720"/>
      </w:pPr>
    </w:p>
    <w:p w:rsidR="00461400" w:rsidRDefault="00461400" w:rsidP="00461400">
      <w:pPr>
        <w:ind w:left="720"/>
      </w:pPr>
      <w:r>
        <w:t>Office Hours: By appointment</w:t>
      </w:r>
    </w:p>
    <w:p w:rsidR="00461400" w:rsidRDefault="00461400" w:rsidP="00461400">
      <w:pPr>
        <w:ind w:left="720"/>
      </w:pPr>
    </w:p>
    <w:p w:rsidR="00461400" w:rsidRDefault="00461400" w:rsidP="00461400">
      <w:pPr>
        <w:ind w:left="720"/>
      </w:pPr>
      <w:r>
        <w:t xml:space="preserve">I will answer emails to both </w:t>
      </w:r>
      <w:hyperlink r:id="rId8" w:history="1">
        <w:r w:rsidRPr="002152AA">
          <w:rPr>
            <w:rStyle w:val="Hyperlink"/>
          </w:rPr>
          <w:t>treardo2@kennesaw.edu</w:t>
        </w:r>
      </w:hyperlink>
      <w:r>
        <w:t xml:space="preserve"> and through the D2L email function. However, responses will generally be faster when sent through the @kennesaw.edu email address. M-Th, you will receive a response within 24 hours, if not faster.</w:t>
      </w:r>
    </w:p>
    <w:p w:rsidR="00325116" w:rsidRDefault="00325116" w:rsidP="00461400">
      <w:pPr>
        <w:ind w:left="720"/>
      </w:pPr>
    </w:p>
    <w:p w:rsidR="00325116" w:rsidRDefault="00325116" w:rsidP="00461400">
      <w:pPr>
        <w:ind w:left="720"/>
      </w:pPr>
      <w:r>
        <w:t>Grades and feedback will be posted within 2 weeks of the due date for major assignments and within 1 week of the due date for participation activities.</w:t>
      </w:r>
    </w:p>
    <w:p w:rsidR="00461400" w:rsidRDefault="00461400" w:rsidP="00461400">
      <w:pPr>
        <w:ind w:left="720"/>
      </w:pPr>
    </w:p>
    <w:p w:rsidR="00461400" w:rsidRDefault="00461400" w:rsidP="00461400">
      <w:pPr>
        <w:ind w:left="720"/>
      </w:pPr>
      <w:r>
        <w:t>I will not discuss grades via email or phone. You must schedule an appointment to speak via Collaborate or in person to discuss grades.</w:t>
      </w:r>
    </w:p>
    <w:p w:rsidR="00461400" w:rsidRDefault="00461400" w:rsidP="00461400">
      <w:pPr>
        <w:ind w:left="720"/>
      </w:pPr>
    </w:p>
    <w:p w:rsidR="00461400" w:rsidRPr="00461400" w:rsidRDefault="00461400" w:rsidP="00461400">
      <w:pPr>
        <w:ind w:left="720"/>
        <w:rPr>
          <w:b/>
        </w:rPr>
      </w:pPr>
      <w:r w:rsidRPr="00461400">
        <w:rPr>
          <w:b/>
        </w:rPr>
        <w:t>I will not respond to emails sent from non-KSU email addresses. Use your @students.kennesaw.edu email address.</w:t>
      </w:r>
    </w:p>
    <w:p w:rsidR="00461400" w:rsidRDefault="00461400" w:rsidP="00461400">
      <w:pPr>
        <w:ind w:left="720"/>
      </w:pPr>
    </w:p>
    <w:p w:rsidR="00461400" w:rsidRDefault="00461400" w:rsidP="00461400">
      <w:pPr>
        <w:pStyle w:val="Heading1"/>
      </w:pPr>
      <w:r>
        <w:t>Description</w:t>
      </w:r>
    </w:p>
    <w:p w:rsidR="00461400" w:rsidRPr="00461400" w:rsidRDefault="00461400" w:rsidP="00461400">
      <w:pPr>
        <w:ind w:left="720"/>
      </w:pPr>
      <w:r w:rsidRPr="00461400">
        <w:t>The course is an introduction to the organization, style, and mechanics of technical writing. It includes</w:t>
      </w:r>
      <w:r w:rsidR="009876CA">
        <w:t xml:space="preserve"> </w:t>
      </w:r>
      <w:r w:rsidRPr="00461400">
        <w:t>practice in writing such typical documents as technical descriptions, instructions, proposals, and</w:t>
      </w:r>
      <w:r w:rsidR="009876CA">
        <w:t xml:space="preserve"> </w:t>
      </w:r>
      <w:r w:rsidRPr="00461400">
        <w:t>recommendation reports. Emphasis is placed on incorporating rhetorical theory into planning, organizing, and writing reports; designing visual aids; and editing. Among other assignments, at least one complete technical report is required.</w:t>
      </w:r>
    </w:p>
    <w:p w:rsidR="00461400" w:rsidRDefault="00461400" w:rsidP="00461400">
      <w:pPr>
        <w:ind w:left="720"/>
      </w:pPr>
    </w:p>
    <w:p w:rsidR="00461400" w:rsidRDefault="00461400" w:rsidP="00461400">
      <w:pPr>
        <w:pStyle w:val="Heading2"/>
      </w:pPr>
      <w:r>
        <w:t>Pre-requisites</w:t>
      </w:r>
    </w:p>
    <w:p w:rsidR="00461400" w:rsidRPr="00461400" w:rsidRDefault="00461400" w:rsidP="00461400">
      <w:pPr>
        <w:ind w:left="720"/>
      </w:pPr>
      <w:r w:rsidRPr="00461400">
        <w:t>Students must have earned a grade of "C" or higher in ENGL 1102 in order to be enrolled in TCOM 2010.</w:t>
      </w:r>
    </w:p>
    <w:p w:rsidR="00461400" w:rsidRDefault="00461400" w:rsidP="00461400">
      <w:pPr>
        <w:ind w:left="720"/>
      </w:pPr>
    </w:p>
    <w:p w:rsidR="00461400" w:rsidRDefault="00461400" w:rsidP="00461400">
      <w:pPr>
        <w:pStyle w:val="Heading2"/>
      </w:pPr>
      <w:r>
        <w:t>Purpose</w:t>
      </w:r>
    </w:p>
    <w:p w:rsidR="00461400" w:rsidRDefault="00461400" w:rsidP="009876CA">
      <w:pPr>
        <w:ind w:left="720"/>
      </w:pPr>
      <w:r w:rsidRPr="00461400">
        <w:t>This course has two distinct purposes. First, the course serves as a required course in Area F for most majors</w:t>
      </w:r>
      <w:r w:rsidR="009876CA">
        <w:t xml:space="preserve"> </w:t>
      </w:r>
      <w:r w:rsidRPr="00461400">
        <w:t>in engineering, computer science, and the natural sciences, among other majors, at Kennesaw State</w:t>
      </w:r>
      <w:r w:rsidR="009876CA">
        <w:t xml:space="preserve"> </w:t>
      </w:r>
      <w:r w:rsidRPr="00461400">
        <w:t>University. Second, the course is a required course in Area F for the B.S. in Technical Communication major. In both cases, the course provides students with the rhetorical theory and with experience in planning and writing the types of documents that they will be asked to write in a professional environment.</w:t>
      </w:r>
    </w:p>
    <w:p w:rsidR="000A5813" w:rsidRDefault="000A5813">
      <w:pPr>
        <w:rPr>
          <w:rFonts w:asciiTheme="majorHAnsi" w:eastAsiaTheme="majorEastAsia" w:hAnsiTheme="majorHAnsi" w:cstheme="majorBidi"/>
          <w:color w:val="000000" w:themeColor="text1"/>
          <w:sz w:val="32"/>
          <w:szCs w:val="32"/>
        </w:rPr>
      </w:pPr>
      <w:r>
        <w:br w:type="page"/>
      </w:r>
    </w:p>
    <w:p w:rsidR="00461400" w:rsidRDefault="00461400" w:rsidP="00461400">
      <w:pPr>
        <w:pStyle w:val="Heading1"/>
      </w:pPr>
      <w:r>
        <w:lastRenderedPageBreak/>
        <w:t>Objectives</w:t>
      </w:r>
    </w:p>
    <w:p w:rsidR="00461400" w:rsidRPr="00461400" w:rsidRDefault="00461400" w:rsidP="00461400">
      <w:pPr>
        <w:ind w:left="720"/>
      </w:pPr>
      <w:r w:rsidRPr="00461400">
        <w:t>By the end of this course, students will be able to do the following:</w:t>
      </w:r>
    </w:p>
    <w:p w:rsidR="00461400" w:rsidRPr="00461400" w:rsidRDefault="00461400" w:rsidP="00461400">
      <w:pPr>
        <w:pStyle w:val="ListParagraph"/>
        <w:numPr>
          <w:ilvl w:val="0"/>
          <w:numId w:val="1"/>
        </w:numPr>
      </w:pPr>
      <w:r>
        <w:t>W</w:t>
      </w:r>
      <w:r w:rsidRPr="00461400">
        <w:t>rite effective technical documents, including memos and emails, instructions, proposals, and technical reports</w:t>
      </w:r>
      <w:r>
        <w:t>.</w:t>
      </w:r>
    </w:p>
    <w:p w:rsidR="00461400" w:rsidRDefault="00461400" w:rsidP="00461400">
      <w:pPr>
        <w:pStyle w:val="ListParagraph"/>
        <w:numPr>
          <w:ilvl w:val="0"/>
          <w:numId w:val="1"/>
        </w:numPr>
      </w:pPr>
      <w:r>
        <w:t>Prepare and effectively use graphics in technical documents.</w:t>
      </w:r>
    </w:p>
    <w:p w:rsidR="00461400" w:rsidRDefault="00461400" w:rsidP="00461400">
      <w:pPr>
        <w:pStyle w:val="ListParagraph"/>
        <w:numPr>
          <w:ilvl w:val="0"/>
          <w:numId w:val="1"/>
        </w:numPr>
      </w:pPr>
      <w:r>
        <w:t>Apply principles of document design to various types of technical documents.</w:t>
      </w:r>
    </w:p>
    <w:p w:rsidR="00461400" w:rsidRDefault="00461400" w:rsidP="00461400">
      <w:pPr>
        <w:pStyle w:val="ListParagraph"/>
        <w:numPr>
          <w:ilvl w:val="0"/>
          <w:numId w:val="1"/>
        </w:numPr>
      </w:pPr>
      <w:r>
        <w:t>Demonstrate audience awareness in the organization, design, and style of documents.</w:t>
      </w:r>
    </w:p>
    <w:p w:rsidR="00461400" w:rsidRDefault="00461400" w:rsidP="00461400">
      <w:pPr>
        <w:pStyle w:val="ListParagraph"/>
        <w:numPr>
          <w:ilvl w:val="0"/>
          <w:numId w:val="1"/>
        </w:numPr>
      </w:pPr>
      <w:r>
        <w:t>Gather, record, and interpret research as a basis for a proposal, report, and/or presentation.</w:t>
      </w:r>
    </w:p>
    <w:p w:rsidR="00461400" w:rsidRDefault="00461400" w:rsidP="00461400">
      <w:pPr>
        <w:pStyle w:val="ListParagraph"/>
        <w:numPr>
          <w:ilvl w:val="0"/>
          <w:numId w:val="1"/>
        </w:numPr>
      </w:pPr>
      <w:r>
        <w:t>Develop and demonstrate effective presentation skills.</w:t>
      </w:r>
    </w:p>
    <w:p w:rsidR="00461400" w:rsidRDefault="00461400" w:rsidP="00461400">
      <w:pPr>
        <w:pStyle w:val="ListParagraph"/>
        <w:numPr>
          <w:ilvl w:val="0"/>
          <w:numId w:val="1"/>
        </w:numPr>
      </w:pPr>
      <w:r>
        <w:t>Apply the concepts of this course to your major and future careers.</w:t>
      </w:r>
    </w:p>
    <w:p w:rsidR="000A5813" w:rsidRDefault="000A5813" w:rsidP="000A5813">
      <w:pPr>
        <w:ind w:left="720"/>
      </w:pPr>
    </w:p>
    <w:p w:rsidR="00BA2F51" w:rsidRDefault="00BA2F51" w:rsidP="00BA2F51">
      <w:pPr>
        <w:pStyle w:val="Heading1"/>
      </w:pPr>
      <w:r>
        <w:t>Materials</w:t>
      </w:r>
    </w:p>
    <w:p w:rsidR="00BA2F51" w:rsidRDefault="00BA2F51" w:rsidP="00BA2F51">
      <w:pPr>
        <w:ind w:left="720"/>
      </w:pPr>
      <w:r>
        <w:t xml:space="preserve">Reardon, T., Powell, T., Arnett, J., Race, C., &amp; Logan, M. (2018). </w:t>
      </w:r>
      <w:hyperlink r:id="rId9" w:history="1">
        <w:r w:rsidRPr="00BA2F51">
          <w:rPr>
            <w:rStyle w:val="Hyperlink"/>
            <w:i/>
          </w:rPr>
          <w:t>Sexy Technical Communication</w:t>
        </w:r>
      </w:hyperlink>
      <w:r>
        <w:t>. Online.</w:t>
      </w:r>
    </w:p>
    <w:p w:rsidR="00BA2F51" w:rsidRDefault="00BA2F51" w:rsidP="00BA2F51">
      <w:pPr>
        <w:ind w:left="720"/>
      </w:pPr>
    </w:p>
    <w:p w:rsidR="00BA2F51" w:rsidRDefault="00BA2F51" w:rsidP="000A5813">
      <w:pPr>
        <w:ind w:left="720"/>
      </w:pPr>
      <w:r>
        <w:t xml:space="preserve">This textbook is </w:t>
      </w:r>
      <w:r w:rsidRPr="00BA2F51">
        <w:rPr>
          <w:b/>
        </w:rPr>
        <w:t>freely available online</w:t>
      </w:r>
      <w:r>
        <w:t>. All chapter readings will be linked within the modules in this course.</w:t>
      </w:r>
    </w:p>
    <w:p w:rsidR="000A5813" w:rsidRDefault="000A5813" w:rsidP="000A5813">
      <w:pPr>
        <w:ind w:left="720"/>
      </w:pPr>
    </w:p>
    <w:p w:rsidR="00BA2F51" w:rsidRDefault="00BA2F51" w:rsidP="00BA2F51">
      <w:pPr>
        <w:pStyle w:val="Heading1"/>
      </w:pPr>
      <w:r>
        <w:t>Evaluation</w:t>
      </w:r>
    </w:p>
    <w:p w:rsidR="00BA2F51" w:rsidRDefault="000A5813" w:rsidP="00BA2F51">
      <w:pPr>
        <w:pStyle w:val="Heading2"/>
      </w:pPr>
      <w:r>
        <w:t xml:space="preserve">Final Grade </w:t>
      </w:r>
      <w:r w:rsidR="00BA2F51">
        <w:t>Criteria</w:t>
      </w:r>
    </w:p>
    <w:tbl>
      <w:tblPr>
        <w:tblStyle w:val="GridTable2-Accent1"/>
        <w:tblW w:w="10620" w:type="dxa"/>
        <w:tblInd w:w="720" w:type="dxa"/>
        <w:tblLook w:val="04A0" w:firstRow="1" w:lastRow="0" w:firstColumn="1" w:lastColumn="0" w:noHBand="0" w:noVBand="1"/>
        <w:tblCaption w:val="Final Grade Criteria"/>
      </w:tblPr>
      <w:tblGrid>
        <w:gridCol w:w="1170"/>
        <w:gridCol w:w="3600"/>
        <w:gridCol w:w="5850"/>
      </w:tblGrid>
      <w:tr w:rsidR="00BA2F51" w:rsidTr="00E61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BA2F51" w:rsidRDefault="00BA2F51" w:rsidP="00BA2F51">
            <w:r>
              <w:t>Weight</w:t>
            </w:r>
          </w:p>
        </w:tc>
        <w:tc>
          <w:tcPr>
            <w:tcW w:w="3600" w:type="dxa"/>
          </w:tcPr>
          <w:p w:rsidR="00BA2F51" w:rsidRDefault="00BA2F51" w:rsidP="00BA2F51">
            <w:pPr>
              <w:cnfStyle w:val="100000000000" w:firstRow="1" w:lastRow="0" w:firstColumn="0" w:lastColumn="0" w:oddVBand="0" w:evenVBand="0" w:oddHBand="0" w:evenHBand="0" w:firstRowFirstColumn="0" w:firstRowLastColumn="0" w:lastRowFirstColumn="0" w:lastRowLastColumn="0"/>
            </w:pPr>
            <w:r>
              <w:t>Assignment/Category</w:t>
            </w:r>
          </w:p>
        </w:tc>
        <w:tc>
          <w:tcPr>
            <w:tcW w:w="5850" w:type="dxa"/>
          </w:tcPr>
          <w:p w:rsidR="00BA2F51" w:rsidRDefault="00BA2F51" w:rsidP="00BA2F51">
            <w:pPr>
              <w:cnfStyle w:val="100000000000" w:firstRow="1" w:lastRow="0" w:firstColumn="0" w:lastColumn="0" w:oddVBand="0" w:evenVBand="0" w:oddHBand="0" w:evenHBand="0" w:firstRowFirstColumn="0" w:firstRowLastColumn="0" w:lastRowFirstColumn="0" w:lastRowLastColumn="0"/>
            </w:pPr>
            <w:r>
              <w:t>Notes</w:t>
            </w:r>
          </w:p>
        </w:tc>
      </w:tr>
      <w:tr w:rsidR="00BA2F51"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BA2F51" w:rsidRDefault="00BA2F51" w:rsidP="00BA2F51">
            <w:r>
              <w:t>15%</w:t>
            </w:r>
          </w:p>
        </w:tc>
        <w:tc>
          <w:tcPr>
            <w:tcW w:w="3600" w:type="dxa"/>
          </w:tcPr>
          <w:p w:rsidR="00BA2F51" w:rsidRDefault="00BA2F51" w:rsidP="00BA2F51">
            <w:pPr>
              <w:cnfStyle w:val="000000100000" w:firstRow="0" w:lastRow="0" w:firstColumn="0" w:lastColumn="0" w:oddVBand="0" w:evenVBand="0" w:oddHBand="1" w:evenHBand="0" w:firstRowFirstColumn="0" w:firstRowLastColumn="0" w:lastRowFirstColumn="0" w:lastRowLastColumn="0"/>
            </w:pPr>
            <w:r>
              <w:t>Memo or Email Assignment</w:t>
            </w:r>
          </w:p>
        </w:tc>
        <w:tc>
          <w:tcPr>
            <w:tcW w:w="5850" w:type="dxa"/>
          </w:tcPr>
          <w:p w:rsidR="00BA2F51" w:rsidRDefault="00BA2F51" w:rsidP="00BA2F51">
            <w:pPr>
              <w:cnfStyle w:val="000000100000" w:firstRow="0" w:lastRow="0" w:firstColumn="0" w:lastColumn="0" w:oddVBand="0" w:evenVBand="0" w:oddHBand="1" w:evenHBand="0" w:firstRowFirstColumn="0" w:firstRowLastColumn="0" w:lastRowFirstColumn="0" w:lastRowLastColumn="0"/>
            </w:pPr>
            <w:r>
              <w:t>Individual Major Writing Assignment</w:t>
            </w:r>
          </w:p>
        </w:tc>
      </w:tr>
      <w:tr w:rsidR="00BA2F51" w:rsidTr="00E615DD">
        <w:tc>
          <w:tcPr>
            <w:cnfStyle w:val="001000000000" w:firstRow="0" w:lastRow="0" w:firstColumn="1" w:lastColumn="0" w:oddVBand="0" w:evenVBand="0" w:oddHBand="0" w:evenHBand="0" w:firstRowFirstColumn="0" w:firstRowLastColumn="0" w:lastRowFirstColumn="0" w:lastRowLastColumn="0"/>
            <w:tcW w:w="1170" w:type="dxa"/>
          </w:tcPr>
          <w:p w:rsidR="00BA2F51" w:rsidRDefault="00BA2F51" w:rsidP="00BA2F51">
            <w:r>
              <w:t>20%</w:t>
            </w:r>
          </w:p>
        </w:tc>
        <w:tc>
          <w:tcPr>
            <w:tcW w:w="3600" w:type="dxa"/>
          </w:tcPr>
          <w:p w:rsidR="00BA2F51" w:rsidRDefault="00BA2F51" w:rsidP="00BA2F51">
            <w:pPr>
              <w:cnfStyle w:val="000000000000" w:firstRow="0" w:lastRow="0" w:firstColumn="0" w:lastColumn="0" w:oddVBand="0" w:evenVBand="0" w:oddHBand="0" w:evenHBand="0" w:firstRowFirstColumn="0" w:firstRowLastColumn="0" w:lastRowFirstColumn="0" w:lastRowLastColumn="0"/>
            </w:pPr>
            <w:r>
              <w:t>Instructions and Usability Test</w:t>
            </w:r>
          </w:p>
        </w:tc>
        <w:tc>
          <w:tcPr>
            <w:tcW w:w="5850" w:type="dxa"/>
          </w:tcPr>
          <w:p w:rsidR="00BA2F51" w:rsidRDefault="00BA2F51" w:rsidP="00BA2F51">
            <w:pPr>
              <w:cnfStyle w:val="000000000000" w:firstRow="0" w:lastRow="0" w:firstColumn="0" w:lastColumn="0" w:oddVBand="0" w:evenVBand="0" w:oddHBand="0" w:evenHBand="0" w:firstRowFirstColumn="0" w:firstRowLastColumn="0" w:lastRowFirstColumn="0" w:lastRowLastColumn="0"/>
            </w:pPr>
            <w:r>
              <w:t>Individual Major Writing Assignment with Peer Evaluation</w:t>
            </w:r>
          </w:p>
        </w:tc>
      </w:tr>
      <w:tr w:rsidR="00BA2F51"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BA2F51" w:rsidRDefault="00BA2F51" w:rsidP="00BA2F51">
            <w:r>
              <w:t>15%</w:t>
            </w:r>
          </w:p>
        </w:tc>
        <w:tc>
          <w:tcPr>
            <w:tcW w:w="3600" w:type="dxa"/>
          </w:tcPr>
          <w:p w:rsidR="00BA2F51" w:rsidRDefault="00BA2F51" w:rsidP="00BA2F51">
            <w:pPr>
              <w:cnfStyle w:val="000000100000" w:firstRow="0" w:lastRow="0" w:firstColumn="0" w:lastColumn="0" w:oddVBand="0" w:evenVBand="0" w:oddHBand="1" w:evenHBand="0" w:firstRowFirstColumn="0" w:firstRowLastColumn="0" w:lastRowFirstColumn="0" w:lastRowLastColumn="0"/>
            </w:pPr>
            <w:r>
              <w:t>Proposal for Research</w:t>
            </w:r>
          </w:p>
        </w:tc>
        <w:tc>
          <w:tcPr>
            <w:tcW w:w="5850" w:type="dxa"/>
          </w:tcPr>
          <w:p w:rsidR="00BA2F51" w:rsidRDefault="00BA2F51" w:rsidP="00BA2F51">
            <w:pPr>
              <w:cnfStyle w:val="000000100000" w:firstRow="0" w:lastRow="0" w:firstColumn="0" w:lastColumn="0" w:oddVBand="0" w:evenVBand="0" w:oddHBand="1" w:evenHBand="0" w:firstRowFirstColumn="0" w:firstRowLastColumn="0" w:lastRowFirstColumn="0" w:lastRowLastColumn="0"/>
            </w:pPr>
            <w:r>
              <w:t>Group Major Writing Assignment with Presentation</w:t>
            </w:r>
          </w:p>
        </w:tc>
      </w:tr>
      <w:tr w:rsidR="00BA2F51" w:rsidTr="00E615DD">
        <w:tc>
          <w:tcPr>
            <w:cnfStyle w:val="001000000000" w:firstRow="0" w:lastRow="0" w:firstColumn="1" w:lastColumn="0" w:oddVBand="0" w:evenVBand="0" w:oddHBand="0" w:evenHBand="0" w:firstRowFirstColumn="0" w:firstRowLastColumn="0" w:lastRowFirstColumn="0" w:lastRowLastColumn="0"/>
            <w:tcW w:w="1170" w:type="dxa"/>
          </w:tcPr>
          <w:p w:rsidR="00BA2F51" w:rsidRDefault="00BA2F51" w:rsidP="00BA2F51">
            <w:r>
              <w:t>20%</w:t>
            </w:r>
          </w:p>
        </w:tc>
        <w:tc>
          <w:tcPr>
            <w:tcW w:w="3600" w:type="dxa"/>
          </w:tcPr>
          <w:p w:rsidR="00BA2F51" w:rsidRDefault="00BA2F51" w:rsidP="00BA2F51">
            <w:pPr>
              <w:cnfStyle w:val="000000000000" w:firstRow="0" w:lastRow="0" w:firstColumn="0" w:lastColumn="0" w:oddVBand="0" w:evenVBand="0" w:oddHBand="0" w:evenHBand="0" w:firstRowFirstColumn="0" w:firstRowLastColumn="0" w:lastRowFirstColumn="0" w:lastRowLastColumn="0"/>
            </w:pPr>
            <w:r>
              <w:t>Findings/Recommendation Report</w:t>
            </w:r>
          </w:p>
        </w:tc>
        <w:tc>
          <w:tcPr>
            <w:tcW w:w="5850" w:type="dxa"/>
          </w:tcPr>
          <w:p w:rsidR="00BA2F51" w:rsidRDefault="00BA2F51" w:rsidP="00BA2F51">
            <w:pPr>
              <w:cnfStyle w:val="000000000000" w:firstRow="0" w:lastRow="0" w:firstColumn="0" w:lastColumn="0" w:oddVBand="0" w:evenVBand="0" w:oddHBand="0" w:evenHBand="0" w:firstRowFirstColumn="0" w:firstRowLastColumn="0" w:lastRowFirstColumn="0" w:lastRowLastColumn="0"/>
            </w:pPr>
            <w:r>
              <w:t>Group Major Writing Assignment</w:t>
            </w:r>
          </w:p>
        </w:tc>
      </w:tr>
      <w:tr w:rsidR="00BA2F51"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BA2F51" w:rsidRDefault="00BA2F51" w:rsidP="00BA2F51">
            <w:r>
              <w:t>30%</w:t>
            </w:r>
          </w:p>
        </w:tc>
        <w:tc>
          <w:tcPr>
            <w:tcW w:w="3600" w:type="dxa"/>
          </w:tcPr>
          <w:p w:rsidR="00BA2F51" w:rsidRDefault="00BA2F51" w:rsidP="00BA2F51">
            <w:pPr>
              <w:cnfStyle w:val="000000100000" w:firstRow="0" w:lastRow="0" w:firstColumn="0" w:lastColumn="0" w:oddVBand="0" w:evenVBand="0" w:oddHBand="1" w:evenHBand="0" w:firstRowFirstColumn="0" w:firstRowLastColumn="0" w:lastRowFirstColumn="0" w:lastRowLastColumn="0"/>
            </w:pPr>
            <w:r>
              <w:t>Participation Activities</w:t>
            </w:r>
          </w:p>
        </w:tc>
        <w:tc>
          <w:tcPr>
            <w:tcW w:w="5850" w:type="dxa"/>
          </w:tcPr>
          <w:p w:rsidR="00BA2F51" w:rsidRDefault="00BA2F51" w:rsidP="00BA2F51">
            <w:pPr>
              <w:cnfStyle w:val="000000100000" w:firstRow="0" w:lastRow="0" w:firstColumn="0" w:lastColumn="0" w:oddVBand="0" w:evenVBand="0" w:oddHBand="1" w:evenHBand="0" w:firstRowFirstColumn="0" w:firstRowLastColumn="0" w:lastRowFirstColumn="0" w:lastRowLastColumn="0"/>
            </w:pPr>
            <w:r>
              <w:t>Weekly activities including all other graded activities within each weekly module.</w:t>
            </w:r>
          </w:p>
        </w:tc>
      </w:tr>
    </w:tbl>
    <w:p w:rsidR="00BA2F51" w:rsidRDefault="007235AD" w:rsidP="00BA2F51">
      <w:pPr>
        <w:ind w:left="720"/>
      </w:pPr>
      <w:r>
        <w:t>Please see the “Grades” tab in D2L for a full list of grades and to track your learning progress.</w:t>
      </w:r>
    </w:p>
    <w:p w:rsidR="007235AD" w:rsidRDefault="007235AD" w:rsidP="00BA2F51">
      <w:pPr>
        <w:ind w:left="720"/>
      </w:pPr>
    </w:p>
    <w:p w:rsidR="00BA2F51" w:rsidRDefault="000A5813" w:rsidP="000A5813">
      <w:pPr>
        <w:pStyle w:val="Heading2"/>
      </w:pPr>
      <w:r>
        <w:t>Final Grade Breakdown</w:t>
      </w:r>
    </w:p>
    <w:tbl>
      <w:tblPr>
        <w:tblStyle w:val="GridTable2-Accent1"/>
        <w:tblW w:w="4770" w:type="dxa"/>
        <w:tblInd w:w="720" w:type="dxa"/>
        <w:tblLook w:val="04A0" w:firstRow="1" w:lastRow="0" w:firstColumn="1" w:lastColumn="0" w:noHBand="0" w:noVBand="1"/>
        <w:tblCaption w:val="Final Grade Criteria"/>
      </w:tblPr>
      <w:tblGrid>
        <w:gridCol w:w="1170"/>
        <w:gridCol w:w="3600"/>
      </w:tblGrid>
      <w:tr w:rsidR="000A5813" w:rsidTr="00E61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0A5813" w:rsidRDefault="000A5813" w:rsidP="0079308C">
            <w:r>
              <w:t>Grade</w:t>
            </w:r>
          </w:p>
        </w:tc>
        <w:tc>
          <w:tcPr>
            <w:tcW w:w="3600" w:type="dxa"/>
          </w:tcPr>
          <w:p w:rsidR="000A5813" w:rsidRDefault="000A5813" w:rsidP="0079308C">
            <w:pPr>
              <w:cnfStyle w:val="100000000000" w:firstRow="1" w:lastRow="0" w:firstColumn="0" w:lastColumn="0" w:oddVBand="0" w:evenVBand="0" w:oddHBand="0" w:evenHBand="0" w:firstRowFirstColumn="0" w:firstRowLastColumn="0" w:lastRowFirstColumn="0" w:lastRowLastColumn="0"/>
            </w:pPr>
            <w:r>
              <w:t>Range</w:t>
            </w:r>
          </w:p>
        </w:tc>
      </w:tr>
      <w:tr w:rsidR="000A5813"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0A5813" w:rsidRDefault="000A5813" w:rsidP="0079308C">
            <w:r>
              <w:t>A</w:t>
            </w:r>
          </w:p>
        </w:tc>
        <w:tc>
          <w:tcPr>
            <w:tcW w:w="3600" w:type="dxa"/>
          </w:tcPr>
          <w:p w:rsidR="000A5813" w:rsidRDefault="000A5813" w:rsidP="0079308C">
            <w:pPr>
              <w:cnfStyle w:val="000000100000" w:firstRow="0" w:lastRow="0" w:firstColumn="0" w:lastColumn="0" w:oddVBand="0" w:evenVBand="0" w:oddHBand="1" w:evenHBand="0" w:firstRowFirstColumn="0" w:firstRowLastColumn="0" w:lastRowFirstColumn="0" w:lastRowLastColumn="0"/>
            </w:pPr>
            <w:r>
              <w:t>90-100%</w:t>
            </w:r>
          </w:p>
        </w:tc>
      </w:tr>
      <w:tr w:rsidR="000A5813" w:rsidTr="00E615DD">
        <w:tc>
          <w:tcPr>
            <w:cnfStyle w:val="001000000000" w:firstRow="0" w:lastRow="0" w:firstColumn="1" w:lastColumn="0" w:oddVBand="0" w:evenVBand="0" w:oddHBand="0" w:evenHBand="0" w:firstRowFirstColumn="0" w:firstRowLastColumn="0" w:lastRowFirstColumn="0" w:lastRowLastColumn="0"/>
            <w:tcW w:w="1170" w:type="dxa"/>
          </w:tcPr>
          <w:p w:rsidR="000A5813" w:rsidRDefault="000A5813" w:rsidP="0079308C">
            <w:r>
              <w:t>B</w:t>
            </w:r>
          </w:p>
        </w:tc>
        <w:tc>
          <w:tcPr>
            <w:tcW w:w="3600" w:type="dxa"/>
          </w:tcPr>
          <w:p w:rsidR="000A5813" w:rsidRDefault="000A5813" w:rsidP="0079308C">
            <w:pPr>
              <w:cnfStyle w:val="000000000000" w:firstRow="0" w:lastRow="0" w:firstColumn="0" w:lastColumn="0" w:oddVBand="0" w:evenVBand="0" w:oddHBand="0" w:evenHBand="0" w:firstRowFirstColumn="0" w:firstRowLastColumn="0" w:lastRowFirstColumn="0" w:lastRowLastColumn="0"/>
            </w:pPr>
            <w:r>
              <w:t>80-89%</w:t>
            </w:r>
          </w:p>
        </w:tc>
      </w:tr>
      <w:tr w:rsidR="000A5813"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0A5813" w:rsidRDefault="000A5813" w:rsidP="0079308C">
            <w:r>
              <w:t>C</w:t>
            </w:r>
          </w:p>
        </w:tc>
        <w:tc>
          <w:tcPr>
            <w:tcW w:w="3600" w:type="dxa"/>
          </w:tcPr>
          <w:p w:rsidR="000A5813" w:rsidRDefault="000A5813" w:rsidP="0079308C">
            <w:pPr>
              <w:cnfStyle w:val="000000100000" w:firstRow="0" w:lastRow="0" w:firstColumn="0" w:lastColumn="0" w:oddVBand="0" w:evenVBand="0" w:oddHBand="1" w:evenHBand="0" w:firstRowFirstColumn="0" w:firstRowLastColumn="0" w:lastRowFirstColumn="0" w:lastRowLastColumn="0"/>
            </w:pPr>
            <w:r>
              <w:t>70-79%</w:t>
            </w:r>
          </w:p>
        </w:tc>
      </w:tr>
      <w:tr w:rsidR="000A5813" w:rsidTr="00E615DD">
        <w:tc>
          <w:tcPr>
            <w:cnfStyle w:val="001000000000" w:firstRow="0" w:lastRow="0" w:firstColumn="1" w:lastColumn="0" w:oddVBand="0" w:evenVBand="0" w:oddHBand="0" w:evenHBand="0" w:firstRowFirstColumn="0" w:firstRowLastColumn="0" w:lastRowFirstColumn="0" w:lastRowLastColumn="0"/>
            <w:tcW w:w="1170" w:type="dxa"/>
          </w:tcPr>
          <w:p w:rsidR="000A5813" w:rsidRDefault="000A5813" w:rsidP="0079308C">
            <w:r>
              <w:t>D</w:t>
            </w:r>
          </w:p>
        </w:tc>
        <w:tc>
          <w:tcPr>
            <w:tcW w:w="3600" w:type="dxa"/>
          </w:tcPr>
          <w:p w:rsidR="000A5813" w:rsidRDefault="000A5813" w:rsidP="0079308C">
            <w:pPr>
              <w:cnfStyle w:val="000000000000" w:firstRow="0" w:lastRow="0" w:firstColumn="0" w:lastColumn="0" w:oddVBand="0" w:evenVBand="0" w:oddHBand="0" w:evenHBand="0" w:firstRowFirstColumn="0" w:firstRowLastColumn="0" w:lastRowFirstColumn="0" w:lastRowLastColumn="0"/>
            </w:pPr>
            <w:r>
              <w:t>60-69%</w:t>
            </w:r>
          </w:p>
        </w:tc>
      </w:tr>
      <w:tr w:rsidR="000A5813"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0A5813" w:rsidRDefault="000A5813" w:rsidP="0079308C">
            <w:r>
              <w:t>F</w:t>
            </w:r>
          </w:p>
        </w:tc>
        <w:tc>
          <w:tcPr>
            <w:tcW w:w="3600" w:type="dxa"/>
          </w:tcPr>
          <w:p w:rsidR="000A5813" w:rsidRDefault="000A5813" w:rsidP="0079308C">
            <w:pPr>
              <w:cnfStyle w:val="000000100000" w:firstRow="0" w:lastRow="0" w:firstColumn="0" w:lastColumn="0" w:oddVBand="0" w:evenVBand="0" w:oddHBand="1" w:evenHBand="0" w:firstRowFirstColumn="0" w:firstRowLastColumn="0" w:lastRowFirstColumn="0" w:lastRowLastColumn="0"/>
            </w:pPr>
            <w:r>
              <w:t>0-59%</w:t>
            </w:r>
          </w:p>
        </w:tc>
      </w:tr>
    </w:tbl>
    <w:p w:rsidR="000A5813" w:rsidRDefault="000A5813" w:rsidP="000A5813">
      <w:pPr>
        <w:ind w:left="720"/>
      </w:pPr>
    </w:p>
    <w:p w:rsidR="000A5813" w:rsidRDefault="000A5813" w:rsidP="000A5813">
      <w:pPr>
        <w:pStyle w:val="Heading2"/>
      </w:pPr>
      <w:r>
        <w:t>Assignment Policies</w:t>
      </w:r>
    </w:p>
    <w:p w:rsidR="000A5813" w:rsidRDefault="000A5813" w:rsidP="000A5813">
      <w:pPr>
        <w:ind w:left="720"/>
      </w:pPr>
      <w:r>
        <w:t>Assignments will be accepted through the designated D2L assignment folder only. Assignments submitted</w:t>
      </w:r>
    </w:p>
    <w:p w:rsidR="000A5813" w:rsidRDefault="000A5813" w:rsidP="000A5813">
      <w:pPr>
        <w:ind w:left="720"/>
      </w:pPr>
      <w:r>
        <w:t>through email will not be accepted.</w:t>
      </w:r>
    </w:p>
    <w:p w:rsidR="000A5813" w:rsidRDefault="000A5813" w:rsidP="000A5813">
      <w:pPr>
        <w:ind w:left="720"/>
      </w:pPr>
    </w:p>
    <w:p w:rsidR="000A5813" w:rsidRDefault="000A5813" w:rsidP="000A5813">
      <w:pPr>
        <w:ind w:left="720"/>
      </w:pPr>
      <w:r>
        <w:t>All assignments are automatically submitted through plagiarism detection software. University academic</w:t>
      </w:r>
    </w:p>
    <w:p w:rsidR="00C2694A" w:rsidRDefault="000A5813" w:rsidP="00C2694A">
      <w:pPr>
        <w:ind w:left="720"/>
      </w:pPr>
      <w:r>
        <w:t>integrity policies apply.</w:t>
      </w:r>
    </w:p>
    <w:p w:rsidR="000A5813" w:rsidRDefault="000A5813" w:rsidP="00C2694A">
      <w:pPr>
        <w:ind w:left="720"/>
      </w:pPr>
      <w:r>
        <w:br w:type="page"/>
      </w:r>
    </w:p>
    <w:p w:rsidR="000A5813" w:rsidRDefault="000A5813" w:rsidP="000A5813">
      <w:pPr>
        <w:pStyle w:val="Heading1"/>
      </w:pPr>
      <w:r>
        <w:lastRenderedPageBreak/>
        <w:t>Course Policies</w:t>
      </w:r>
    </w:p>
    <w:p w:rsidR="000A5813" w:rsidRDefault="000A5813" w:rsidP="000A5813">
      <w:pPr>
        <w:pStyle w:val="Heading2"/>
      </w:pPr>
      <w:r>
        <w:t>Attendance Policy</w:t>
      </w:r>
    </w:p>
    <w:p w:rsidR="000A5813" w:rsidRDefault="000A5813" w:rsidP="009876CA">
      <w:pPr>
        <w:ind w:left="720"/>
      </w:pPr>
      <w:r>
        <w:t>This course is 100% online. Therefore, attendance will not be recorded "officially." Attendance will be</w:t>
      </w:r>
      <w:r w:rsidR="009876CA">
        <w:t xml:space="preserve"> </w:t>
      </w:r>
      <w:r>
        <w:t>determined based on active participation in the online class and completion of assignments.</w:t>
      </w:r>
    </w:p>
    <w:p w:rsidR="000A5813" w:rsidRDefault="000A5813" w:rsidP="000A5813">
      <w:pPr>
        <w:ind w:left="720"/>
      </w:pPr>
    </w:p>
    <w:p w:rsidR="000A5813" w:rsidRDefault="000A5813" w:rsidP="000A5813">
      <w:pPr>
        <w:ind w:left="720"/>
      </w:pPr>
      <w:r w:rsidRPr="000A5813">
        <w:t>Non-attendance (or non-completion) does not constitute a withdrawal.</w:t>
      </w:r>
    </w:p>
    <w:p w:rsidR="000A5813" w:rsidRDefault="000A5813" w:rsidP="000A5813">
      <w:pPr>
        <w:ind w:left="720"/>
      </w:pPr>
    </w:p>
    <w:p w:rsidR="000A5813" w:rsidRDefault="000A5813" w:rsidP="000A5813">
      <w:pPr>
        <w:pStyle w:val="Heading2"/>
      </w:pPr>
      <w:r>
        <w:t>Extensions and Late Work</w:t>
      </w:r>
    </w:p>
    <w:p w:rsidR="000A5813" w:rsidRDefault="000A5813" w:rsidP="000A5813">
      <w:pPr>
        <w:ind w:left="720"/>
      </w:pPr>
      <w:r w:rsidRPr="000A5813">
        <w:t>Extensions are not permitted on any assignment.</w:t>
      </w:r>
    </w:p>
    <w:p w:rsidR="000A5813" w:rsidRDefault="000A5813" w:rsidP="000A5813">
      <w:pPr>
        <w:ind w:left="720"/>
      </w:pPr>
    </w:p>
    <w:p w:rsidR="000A5813" w:rsidRDefault="000A5813" w:rsidP="009876CA">
      <w:pPr>
        <w:ind w:left="720"/>
      </w:pPr>
      <w:r>
        <w:t>Major assignments will receive a deduction of one letter grade per day late, including weekends.</w:t>
      </w:r>
      <w:r w:rsidR="009876CA">
        <w:t xml:space="preserve"> </w:t>
      </w:r>
      <w:r>
        <w:t>Participation activities and minor assignments will not be accepted late.</w:t>
      </w:r>
    </w:p>
    <w:p w:rsidR="000A5813" w:rsidRDefault="000A5813" w:rsidP="000A5813">
      <w:pPr>
        <w:ind w:left="720"/>
      </w:pPr>
    </w:p>
    <w:p w:rsidR="000A5813" w:rsidRDefault="000A5813" w:rsidP="000A5813">
      <w:pPr>
        <w:ind w:left="720"/>
      </w:pPr>
      <w:r w:rsidRPr="000A5813">
        <w:t>Technical reports will not be accepted late, as they are the "final" in this class.</w:t>
      </w:r>
    </w:p>
    <w:p w:rsidR="000A5813" w:rsidRDefault="000A5813" w:rsidP="000A5813">
      <w:pPr>
        <w:ind w:left="720"/>
      </w:pPr>
    </w:p>
    <w:p w:rsidR="000A5813" w:rsidRDefault="000A5813" w:rsidP="000A5813">
      <w:pPr>
        <w:pStyle w:val="Heading2"/>
      </w:pPr>
      <w:r>
        <w:t>Course Technology and Technical Skills</w:t>
      </w:r>
    </w:p>
    <w:p w:rsidR="000A5813" w:rsidRDefault="000A5813" w:rsidP="009876CA">
      <w:pPr>
        <w:ind w:left="720"/>
      </w:pPr>
      <w:r>
        <w:t>To be successful in this course, you must have access to a computer equipped with the Internet access,</w:t>
      </w:r>
      <w:r w:rsidR="009876CA">
        <w:t xml:space="preserve"> </w:t>
      </w:r>
      <w:r>
        <w:t>Microsoft Office, and either the Google Chrome, Mozilla Firefox, or Safari browser. Internet Explorer is only</w:t>
      </w:r>
      <w:r w:rsidR="009876CA">
        <w:t xml:space="preserve"> </w:t>
      </w:r>
      <w:r>
        <w:t>acceptable as a last resort, as it can be unpredictable.</w:t>
      </w:r>
    </w:p>
    <w:p w:rsidR="000A5813" w:rsidRDefault="000A5813" w:rsidP="000A5813">
      <w:pPr>
        <w:ind w:left="720"/>
      </w:pPr>
    </w:p>
    <w:p w:rsidR="000A5813" w:rsidRDefault="000A5813" w:rsidP="009876CA">
      <w:pPr>
        <w:ind w:left="720"/>
      </w:pPr>
      <w:r>
        <w:t>You must also possess basic computer skills including the ability to navigate the Internet using your chosen</w:t>
      </w:r>
      <w:r w:rsidR="009876CA">
        <w:t xml:space="preserve"> </w:t>
      </w:r>
      <w:r>
        <w:t>browser, use basic Microsoft Word and PowerPoint functions, access D2L and your KSU email, and send and</w:t>
      </w:r>
      <w:r w:rsidR="009876CA">
        <w:t xml:space="preserve"> </w:t>
      </w:r>
      <w:r>
        <w:t xml:space="preserve">receive email using each. For training on </w:t>
      </w:r>
      <w:hyperlink r:id="rId10" w:history="1">
        <w:proofErr w:type="spellStart"/>
        <w:r w:rsidRPr="000A5813">
          <w:rPr>
            <w:rStyle w:val="Hyperlink"/>
          </w:rPr>
          <w:t>KSUMail</w:t>
        </w:r>
        <w:proofErr w:type="spellEnd"/>
      </w:hyperlink>
      <w:r>
        <w:t xml:space="preserve"> and </w:t>
      </w:r>
      <w:hyperlink r:id="rId11" w:history="1">
        <w:r w:rsidRPr="000A5813">
          <w:rPr>
            <w:rStyle w:val="Hyperlink"/>
          </w:rPr>
          <w:t>Office 365</w:t>
        </w:r>
      </w:hyperlink>
      <w:r>
        <w:t>, please refer to the UITS websites.</w:t>
      </w:r>
    </w:p>
    <w:p w:rsidR="000A5813" w:rsidRDefault="000A5813" w:rsidP="000A5813">
      <w:pPr>
        <w:ind w:left="720"/>
      </w:pPr>
    </w:p>
    <w:p w:rsidR="000A5813" w:rsidRDefault="000A5813" w:rsidP="000A5813">
      <w:pPr>
        <w:pStyle w:val="Heading2"/>
      </w:pPr>
      <w:r>
        <w:t>Netiquette</w:t>
      </w:r>
    </w:p>
    <w:p w:rsidR="000A5813" w:rsidRDefault="000A5813" w:rsidP="009876CA">
      <w:pPr>
        <w:ind w:left="720"/>
      </w:pPr>
      <w:r>
        <w:t>All members of the class are expected to follow rules of common courtesy in all email messages, threaded</w:t>
      </w:r>
      <w:r w:rsidR="009876CA">
        <w:t xml:space="preserve"> </w:t>
      </w:r>
      <w:r>
        <w:t xml:space="preserve">discussions, and chats. </w:t>
      </w:r>
      <w:hyperlink r:id="rId12" w:history="1">
        <w:r w:rsidRPr="000A5813">
          <w:rPr>
            <w:rStyle w:val="Hyperlink"/>
          </w:rPr>
          <w:t>Netiquette guidelines</w:t>
        </w:r>
      </w:hyperlink>
      <w:r>
        <w:t>.</w:t>
      </w:r>
    </w:p>
    <w:p w:rsidR="000A5813" w:rsidRDefault="000A5813" w:rsidP="000A5813">
      <w:pPr>
        <w:ind w:left="720"/>
      </w:pPr>
    </w:p>
    <w:p w:rsidR="000A5813" w:rsidRDefault="000A5813" w:rsidP="000A5813">
      <w:pPr>
        <w:pStyle w:val="Heading2"/>
      </w:pPr>
      <w:r>
        <w:t>Disability Policy and Services</w:t>
      </w:r>
    </w:p>
    <w:p w:rsidR="009876CA" w:rsidRDefault="009876CA" w:rsidP="009876CA">
      <w:pPr>
        <w:ind w:left="720"/>
      </w:pPr>
      <w:r>
        <w:t xml:space="preserve">Students requesting accommodation for disabilities must first register with </w:t>
      </w:r>
      <w:hyperlink r:id="rId13" w:history="1">
        <w:r w:rsidRPr="009876CA">
          <w:rPr>
            <w:rStyle w:val="Hyperlink"/>
          </w:rPr>
          <w:t>Student Disability Services</w:t>
        </w:r>
      </w:hyperlink>
      <w:r>
        <w:t xml:space="preserve">. Student Disability Services (SDS) is the first contact for students with disabilities to arrange accommodations and locate campus and community resources. To access accommodations, students must first connect with SDS and provide the appropriate documentation as outlined by the Board of Regents of the University System of Georgia. Documentation submitted to SDS remains confidential within SDS and is not shared with third parties without written permission from the student. SDS assists in identifying appropriate accommodations and it is the student’s responsibility to submit notice of accommodations to instructors and campus departments as needed. Student Disability Services will provide documentation to the student who must then provide this documentation to the instructor when requesting accommodation. You must submit this documentation prior to submitting assignments or taking the quizzes or exams. </w:t>
      </w:r>
      <w:r w:rsidRPr="009876CA">
        <w:rPr>
          <w:b/>
        </w:rPr>
        <w:t>Accommodations are not retroactive</w:t>
      </w:r>
      <w:r>
        <w:t xml:space="preserve">, therefore, students should contact the office as soon as possible in the term for which they are seeking accommodations. </w:t>
      </w:r>
      <w:hyperlink r:id="rId14" w:history="1">
        <w:r w:rsidRPr="009876CA">
          <w:rPr>
            <w:rStyle w:val="Hyperlink"/>
          </w:rPr>
          <w:t>Contact SDS</w:t>
        </w:r>
      </w:hyperlink>
      <w:r>
        <w:t>.</w:t>
      </w:r>
    </w:p>
    <w:p w:rsidR="009876CA" w:rsidRDefault="009876CA">
      <w:pPr>
        <w:rPr>
          <w:rFonts w:asciiTheme="majorHAnsi" w:eastAsiaTheme="majorEastAsia" w:hAnsiTheme="majorHAnsi" w:cstheme="majorBidi"/>
          <w:color w:val="000000" w:themeColor="text1"/>
          <w:sz w:val="32"/>
          <w:szCs w:val="32"/>
        </w:rPr>
      </w:pPr>
      <w:r>
        <w:br w:type="page"/>
      </w:r>
    </w:p>
    <w:p w:rsidR="009876CA" w:rsidRDefault="009876CA" w:rsidP="009876CA">
      <w:pPr>
        <w:pStyle w:val="Heading1"/>
      </w:pPr>
      <w:r>
        <w:lastRenderedPageBreak/>
        <w:t>Institutional Policies</w:t>
      </w:r>
    </w:p>
    <w:p w:rsidR="009876CA" w:rsidRDefault="009876CA" w:rsidP="009876CA">
      <w:pPr>
        <w:pStyle w:val="Heading2"/>
      </w:pPr>
      <w:r>
        <w:t>Federal, BOR, &amp; KSU Course Syllabus Policies</w:t>
      </w:r>
    </w:p>
    <w:p w:rsidR="009876CA" w:rsidRDefault="009876CA" w:rsidP="009876CA">
      <w:pPr>
        <w:ind w:left="720"/>
      </w:pPr>
      <w:r w:rsidRPr="009876CA">
        <w:t>Information contained in the links below constitutes the Federal, BOR, and KSU course syllabus policies</w:t>
      </w:r>
      <w:r>
        <w:t>. These policies are updated on the Academic Affairs Website annually.</w:t>
      </w:r>
    </w:p>
    <w:p w:rsidR="009876CA" w:rsidRDefault="00681BA7" w:rsidP="009876CA">
      <w:pPr>
        <w:ind w:left="720"/>
      </w:pPr>
      <w:hyperlink r:id="rId15" w:history="1">
        <w:r w:rsidR="009876CA" w:rsidRPr="009876CA">
          <w:rPr>
            <w:rStyle w:val="Hyperlink"/>
          </w:rPr>
          <w:t>Federal, BOR, &amp; KSU Policies</w:t>
        </w:r>
      </w:hyperlink>
    </w:p>
    <w:p w:rsidR="009876CA" w:rsidRDefault="00681BA7" w:rsidP="009876CA">
      <w:pPr>
        <w:ind w:left="720"/>
      </w:pPr>
      <w:hyperlink r:id="rId16" w:history="1">
        <w:r w:rsidR="009876CA" w:rsidRPr="009876CA">
          <w:rPr>
            <w:rStyle w:val="Hyperlink"/>
          </w:rPr>
          <w:t>Student Resources</w:t>
        </w:r>
      </w:hyperlink>
    </w:p>
    <w:p w:rsidR="009876CA" w:rsidRDefault="009876CA" w:rsidP="009876CA">
      <w:pPr>
        <w:ind w:left="720"/>
      </w:pPr>
    </w:p>
    <w:p w:rsidR="009876CA" w:rsidRDefault="009876CA" w:rsidP="009876CA">
      <w:pPr>
        <w:pStyle w:val="Heading2"/>
      </w:pPr>
      <w:r>
        <w:t>Academic Integrity Statement</w:t>
      </w:r>
    </w:p>
    <w:p w:rsidR="009876CA" w:rsidRDefault="009876CA" w:rsidP="009876CA">
      <w:pPr>
        <w:ind w:left="720"/>
      </w:pPr>
      <w:r>
        <w:t xml:space="preserve">Every KSU student is responsible for upholding the provisions of the Student Code of Conduct, as published in the Undergraduate and Graduate Catalogs. Section 5c of the Student Code of Conduct addresses the university’s policy on academic honesty, including provisions regarding plagiarism and cheating, unauthorized access to university materials, misrepresentation/falsification of university records or academic work, malicious removal, retention, or destruction of library materials, malicious/intentional misuse of computer facilities and/or services, and misuse of student identification cards. Incidents of alleged academic misconduct will be handled through the established procedures of the Department of Student Conduct and Academic Integrity (SCAI), which includes either an “informal” resolution by a faculty member, resulting in a grade adjustment, or a formal hearing procedure, which may subject a student to the Code of Conduct’s minimum one semester suspension requirement. See also </w:t>
      </w:r>
      <w:hyperlink r:id="rId17" w:history="1">
        <w:r w:rsidRPr="009876CA">
          <w:rPr>
            <w:rStyle w:val="Hyperlink"/>
          </w:rPr>
          <w:t>KSU Student Code of Conduct</w:t>
        </w:r>
      </w:hyperlink>
      <w:r>
        <w:t>.</w:t>
      </w:r>
    </w:p>
    <w:p w:rsidR="009876CA" w:rsidRDefault="009876CA" w:rsidP="009876CA">
      <w:pPr>
        <w:ind w:left="720"/>
      </w:pPr>
    </w:p>
    <w:p w:rsidR="009876CA" w:rsidRDefault="009876CA" w:rsidP="009876CA">
      <w:pPr>
        <w:pStyle w:val="Heading2"/>
      </w:pPr>
      <w:r>
        <w:t>Electronic Communication</w:t>
      </w:r>
    </w:p>
    <w:p w:rsidR="009876CA" w:rsidRDefault="009876CA" w:rsidP="009876CA">
      <w:pPr>
        <w:ind w:left="720"/>
      </w:pPr>
      <w:r>
        <w:t>The University provides all KSU students with an "official" email account with the address</w:t>
      </w:r>
    </w:p>
    <w:p w:rsidR="009876CA" w:rsidRDefault="009876CA" w:rsidP="009876CA">
      <w:pPr>
        <w:ind w:left="720"/>
      </w:pPr>
      <w:r>
        <w:t>"students.kennesaw.edu" or "kennesaw.view.usg.edu" (in D2L). As a result of federal laws protecting</w:t>
      </w:r>
    </w:p>
    <w:p w:rsidR="009876CA" w:rsidRDefault="009876CA" w:rsidP="009876CA">
      <w:pPr>
        <w:ind w:left="720"/>
      </w:pPr>
      <w:r>
        <w:t>educational information and other data, this is the sole email account you should use to communicate with</w:t>
      </w:r>
    </w:p>
    <w:p w:rsidR="009876CA" w:rsidRDefault="009876CA" w:rsidP="009876CA">
      <w:pPr>
        <w:ind w:left="720"/>
      </w:pPr>
      <w:r>
        <w:t>your instructor or other University officials.</w:t>
      </w:r>
    </w:p>
    <w:p w:rsidR="009876CA" w:rsidRDefault="009876CA" w:rsidP="009876CA">
      <w:pPr>
        <w:ind w:left="720"/>
      </w:pPr>
    </w:p>
    <w:p w:rsidR="009876CA" w:rsidRDefault="009876CA" w:rsidP="009876CA">
      <w:pPr>
        <w:pStyle w:val="Heading1"/>
      </w:pPr>
      <w:r>
        <w:t>Additional Items</w:t>
      </w:r>
    </w:p>
    <w:p w:rsidR="009876CA" w:rsidRDefault="009876CA" w:rsidP="009876CA">
      <w:pPr>
        <w:pStyle w:val="Heading2"/>
      </w:pPr>
      <w:r>
        <w:t>Technical Support</w:t>
      </w:r>
    </w:p>
    <w:p w:rsidR="009876CA" w:rsidRDefault="009876CA" w:rsidP="009876CA">
      <w:pPr>
        <w:ind w:left="720"/>
      </w:pPr>
      <w:r>
        <w:t>For issues with technical difficulties, please contact the Student Help Desk at 470-578-3555 or email them</w:t>
      </w:r>
    </w:p>
    <w:p w:rsidR="009876CA" w:rsidRDefault="009876CA" w:rsidP="009876CA">
      <w:pPr>
        <w:ind w:left="720"/>
      </w:pPr>
      <w:r>
        <w:t xml:space="preserve">at </w:t>
      </w:r>
      <w:hyperlink r:id="rId18" w:history="1">
        <w:r w:rsidRPr="002152AA">
          <w:rPr>
            <w:rStyle w:val="Hyperlink"/>
          </w:rPr>
          <w:t>studenthelpdesk@kennesaw.edu</w:t>
        </w:r>
      </w:hyperlink>
      <w:r>
        <w:t xml:space="preserve">. </w:t>
      </w:r>
    </w:p>
    <w:p w:rsidR="009876CA" w:rsidRDefault="009876CA" w:rsidP="009876CA">
      <w:pPr>
        <w:ind w:left="720"/>
      </w:pPr>
    </w:p>
    <w:p w:rsidR="009876CA" w:rsidRDefault="009876CA" w:rsidP="009876CA">
      <w:pPr>
        <w:pStyle w:val="Heading2"/>
      </w:pPr>
      <w:r>
        <w:t>The Writing Center</w:t>
      </w:r>
    </w:p>
    <w:p w:rsidR="009876CA" w:rsidRDefault="009876CA" w:rsidP="009876CA">
      <w:pPr>
        <w:ind w:left="720"/>
      </w:pPr>
      <w:r>
        <w:t xml:space="preserve">Whether you're a business major working on a proposal, a graduate student writing your dissertation, or an engineering student composing a report, your writing will be judged by instructors now and by potential employers later. The KSU Writing Center is here to support your development as a writer so that you become a more articulate and fluent communicator at the university and beyond. </w:t>
      </w:r>
      <w:hyperlink r:id="rId19" w:history="1">
        <w:r w:rsidRPr="009876CA">
          <w:rPr>
            <w:rStyle w:val="Hyperlink"/>
          </w:rPr>
          <w:t>The Writing Center</w:t>
        </w:r>
      </w:hyperlink>
      <w:r>
        <w:t>.</w:t>
      </w:r>
    </w:p>
    <w:p w:rsidR="009876CA" w:rsidRDefault="009876CA" w:rsidP="009876CA">
      <w:pPr>
        <w:ind w:left="720"/>
      </w:pPr>
    </w:p>
    <w:p w:rsidR="009876CA" w:rsidRDefault="00325116" w:rsidP="00325116">
      <w:pPr>
        <w:pStyle w:val="Heading2"/>
      </w:pPr>
      <w:r>
        <w:t>Disclaimer</w:t>
      </w:r>
    </w:p>
    <w:p w:rsidR="00325116" w:rsidRDefault="00325116" w:rsidP="00325116">
      <w:pPr>
        <w:ind w:left="720"/>
      </w:pPr>
      <w:r w:rsidRPr="00325116">
        <w:t>This syllabus is subject to change as the need arises.</w:t>
      </w:r>
    </w:p>
    <w:p w:rsidR="00325116" w:rsidRDefault="00325116">
      <w:r>
        <w:br w:type="page"/>
      </w:r>
    </w:p>
    <w:p w:rsidR="00325116" w:rsidRDefault="00325116" w:rsidP="00325116">
      <w:pPr>
        <w:pStyle w:val="Heading1"/>
      </w:pPr>
      <w:r>
        <w:lastRenderedPageBreak/>
        <w:t>Course Schedule</w:t>
      </w:r>
    </w:p>
    <w:tbl>
      <w:tblPr>
        <w:tblStyle w:val="GridTable2-Accent1"/>
        <w:tblW w:w="10620" w:type="dxa"/>
        <w:tblInd w:w="810" w:type="dxa"/>
        <w:tblLook w:val="04A0" w:firstRow="1" w:lastRow="0" w:firstColumn="1" w:lastColumn="0" w:noHBand="0" w:noVBand="1"/>
        <w:tblCaption w:val="Final Grade Criteria"/>
      </w:tblPr>
      <w:tblGrid>
        <w:gridCol w:w="1170"/>
        <w:gridCol w:w="3600"/>
        <w:gridCol w:w="5850"/>
      </w:tblGrid>
      <w:tr w:rsidR="00325116" w:rsidTr="00E615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When</w:t>
            </w:r>
          </w:p>
        </w:tc>
        <w:tc>
          <w:tcPr>
            <w:tcW w:w="3600" w:type="dxa"/>
          </w:tcPr>
          <w:p w:rsidR="00325116" w:rsidRDefault="00325116" w:rsidP="0079308C">
            <w:pPr>
              <w:cnfStyle w:val="100000000000" w:firstRow="1" w:lastRow="0" w:firstColumn="0" w:lastColumn="0" w:oddVBand="0" w:evenVBand="0" w:oddHBand="0" w:evenHBand="0" w:firstRowFirstColumn="0" w:firstRowLastColumn="0" w:lastRowFirstColumn="0" w:lastRowLastColumn="0"/>
            </w:pPr>
            <w:r>
              <w:t>Topic</w:t>
            </w:r>
          </w:p>
        </w:tc>
        <w:tc>
          <w:tcPr>
            <w:tcW w:w="5850" w:type="dxa"/>
          </w:tcPr>
          <w:p w:rsidR="00325116" w:rsidRDefault="00325116" w:rsidP="0079308C">
            <w:pPr>
              <w:cnfStyle w:val="100000000000" w:firstRow="1" w:lastRow="0" w:firstColumn="0" w:lastColumn="0" w:oddVBand="0" w:evenVBand="0" w:oddHBand="0" w:evenHBand="0" w:firstRowFirstColumn="0" w:firstRowLastColumn="0" w:lastRowFirstColumn="0" w:lastRowLastColumn="0"/>
            </w:pPr>
            <w:r>
              <w:t>Stuff that’s Due</w:t>
            </w:r>
          </w:p>
        </w:tc>
      </w:tr>
      <w:tr w:rsidR="00325116"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1</w:t>
            </w:r>
          </w:p>
        </w:tc>
        <w:tc>
          <w:tcPr>
            <w:tcW w:w="360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Module 1: Introduction</w:t>
            </w:r>
          </w:p>
        </w:tc>
        <w:tc>
          <w:tcPr>
            <w:tcW w:w="585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Introductions</w:t>
            </w:r>
          </w:p>
        </w:tc>
      </w:tr>
      <w:tr w:rsidR="00325116" w:rsidTr="00E615DD">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2</w:t>
            </w:r>
          </w:p>
        </w:tc>
        <w:tc>
          <w:tcPr>
            <w:tcW w:w="360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Module 2: Ethics &amp; Plagiarism</w:t>
            </w:r>
          </w:p>
        </w:tc>
        <w:tc>
          <w:tcPr>
            <w:tcW w:w="585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Ethics Activity</w:t>
            </w:r>
          </w:p>
          <w:p w:rsidR="00325116" w:rsidRDefault="00325116" w:rsidP="0079308C">
            <w:pPr>
              <w:cnfStyle w:val="000000000000" w:firstRow="0" w:lastRow="0" w:firstColumn="0" w:lastColumn="0" w:oddVBand="0" w:evenVBand="0" w:oddHBand="0" w:evenHBand="0" w:firstRowFirstColumn="0" w:firstRowLastColumn="0" w:lastRowFirstColumn="0" w:lastRowLastColumn="0"/>
            </w:pPr>
            <w:r>
              <w:t>Plagiarism Quiz</w:t>
            </w:r>
          </w:p>
        </w:tc>
      </w:tr>
      <w:tr w:rsidR="00325116"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3</w:t>
            </w:r>
          </w:p>
        </w:tc>
        <w:tc>
          <w:tcPr>
            <w:tcW w:w="360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Module 3: Professional Correspondence</w:t>
            </w:r>
          </w:p>
        </w:tc>
        <w:tc>
          <w:tcPr>
            <w:tcW w:w="585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Resume Critique</w:t>
            </w:r>
          </w:p>
        </w:tc>
      </w:tr>
      <w:tr w:rsidR="00325116" w:rsidTr="00E615DD">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4</w:t>
            </w:r>
          </w:p>
        </w:tc>
        <w:tc>
          <w:tcPr>
            <w:tcW w:w="360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Module 4: Audience, Grammar, &amp; Revision</w:t>
            </w:r>
          </w:p>
        </w:tc>
        <w:tc>
          <w:tcPr>
            <w:tcW w:w="585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Audience Analysis Activity</w:t>
            </w:r>
          </w:p>
        </w:tc>
      </w:tr>
      <w:tr w:rsidR="00325116"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5</w:t>
            </w:r>
          </w:p>
        </w:tc>
        <w:tc>
          <w:tcPr>
            <w:tcW w:w="360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Module 5: Instructions, Definitions, &amp; Descriptions</w:t>
            </w:r>
          </w:p>
        </w:tc>
        <w:tc>
          <w:tcPr>
            <w:tcW w:w="585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Memo Assignment (Major)</w:t>
            </w:r>
          </w:p>
          <w:p w:rsidR="00325116" w:rsidRDefault="00325116" w:rsidP="0079308C">
            <w:pPr>
              <w:cnfStyle w:val="000000100000" w:firstRow="0" w:lastRow="0" w:firstColumn="0" w:lastColumn="0" w:oddVBand="0" w:evenVBand="0" w:oddHBand="1" w:evenHBand="0" w:firstRowFirstColumn="0" w:firstRowLastColumn="0" w:lastRowFirstColumn="0" w:lastRowLastColumn="0"/>
            </w:pPr>
            <w:r>
              <w:t>Description Activity</w:t>
            </w:r>
          </w:p>
        </w:tc>
      </w:tr>
      <w:tr w:rsidR="00325116" w:rsidTr="00E615DD">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6</w:t>
            </w:r>
          </w:p>
        </w:tc>
        <w:tc>
          <w:tcPr>
            <w:tcW w:w="360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Module 6: Clarity &amp; Design</w:t>
            </w:r>
          </w:p>
        </w:tc>
        <w:tc>
          <w:tcPr>
            <w:tcW w:w="585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p>
        </w:tc>
      </w:tr>
      <w:tr w:rsidR="00325116"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7</w:t>
            </w:r>
          </w:p>
        </w:tc>
        <w:tc>
          <w:tcPr>
            <w:tcW w:w="360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Module 7: Graphics, Legal, &amp; Usability Testing</w:t>
            </w:r>
          </w:p>
        </w:tc>
        <w:tc>
          <w:tcPr>
            <w:tcW w:w="585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p>
        </w:tc>
      </w:tr>
      <w:tr w:rsidR="00325116" w:rsidTr="00E615DD">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8</w:t>
            </w:r>
          </w:p>
        </w:tc>
        <w:tc>
          <w:tcPr>
            <w:tcW w:w="360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Module 8: Organization &amp; Moving Forward</w:t>
            </w:r>
          </w:p>
        </w:tc>
        <w:tc>
          <w:tcPr>
            <w:tcW w:w="585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Instructions &amp; Usability Test (Major)</w:t>
            </w:r>
          </w:p>
          <w:p w:rsidR="00325116" w:rsidRDefault="00325116" w:rsidP="0079308C">
            <w:pPr>
              <w:cnfStyle w:val="000000000000" w:firstRow="0" w:lastRow="0" w:firstColumn="0" w:lastColumn="0" w:oddVBand="0" w:evenVBand="0" w:oddHBand="0" w:evenHBand="0" w:firstRowFirstColumn="0" w:firstRowLastColumn="0" w:lastRowFirstColumn="0" w:lastRowLastColumn="0"/>
            </w:pPr>
            <w:r>
              <w:t>Mid-Semester Course Evaluation (Optional)</w:t>
            </w:r>
          </w:p>
          <w:p w:rsidR="00325116" w:rsidRDefault="00325116" w:rsidP="0079308C">
            <w:pPr>
              <w:cnfStyle w:val="000000000000" w:firstRow="0" w:lastRow="0" w:firstColumn="0" w:lastColumn="0" w:oddVBand="0" w:evenVBand="0" w:oddHBand="0" w:evenHBand="0" w:firstRowFirstColumn="0" w:firstRowLastColumn="0" w:lastRowFirstColumn="0" w:lastRowLastColumn="0"/>
            </w:pPr>
            <w:r>
              <w:t>Organization Activity</w:t>
            </w:r>
          </w:p>
          <w:p w:rsidR="00325116" w:rsidRDefault="00325116" w:rsidP="0079308C">
            <w:pPr>
              <w:cnfStyle w:val="000000000000" w:firstRow="0" w:lastRow="0" w:firstColumn="0" w:lastColumn="0" w:oddVBand="0" w:evenVBand="0" w:oddHBand="0" w:evenHBand="0" w:firstRowFirstColumn="0" w:firstRowLastColumn="0" w:lastRowFirstColumn="0" w:lastRowLastColumn="0"/>
            </w:pPr>
            <w:r>
              <w:t>Proposal Group Selection</w:t>
            </w:r>
          </w:p>
          <w:p w:rsidR="00325116" w:rsidRDefault="00325116" w:rsidP="0079308C">
            <w:pPr>
              <w:cnfStyle w:val="000000000000" w:firstRow="0" w:lastRow="0" w:firstColumn="0" w:lastColumn="0" w:oddVBand="0" w:evenVBand="0" w:oddHBand="0" w:evenHBand="0" w:firstRowFirstColumn="0" w:firstRowLastColumn="0" w:lastRowFirstColumn="0" w:lastRowLastColumn="0"/>
            </w:pPr>
            <w:r>
              <w:t>Proposal Topic Submission</w:t>
            </w:r>
          </w:p>
        </w:tc>
      </w:tr>
      <w:tr w:rsidR="00325116"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9</w:t>
            </w:r>
          </w:p>
        </w:tc>
        <w:tc>
          <w:tcPr>
            <w:tcW w:w="360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Module 9: Written Proposals &amp; More Graphics</w:t>
            </w:r>
          </w:p>
        </w:tc>
        <w:tc>
          <w:tcPr>
            <w:tcW w:w="585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Proposal Pre-Writing Activity</w:t>
            </w:r>
          </w:p>
        </w:tc>
      </w:tr>
      <w:tr w:rsidR="00325116" w:rsidTr="00E615DD">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10</w:t>
            </w:r>
          </w:p>
        </w:tc>
        <w:tc>
          <w:tcPr>
            <w:tcW w:w="360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Module 10: Oral Presentations</w:t>
            </w:r>
          </w:p>
        </w:tc>
        <w:tc>
          <w:tcPr>
            <w:tcW w:w="585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p>
        </w:tc>
      </w:tr>
      <w:tr w:rsidR="00325116"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11</w:t>
            </w:r>
          </w:p>
        </w:tc>
        <w:tc>
          <w:tcPr>
            <w:tcW w:w="360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Module 11: Proposal Presentation Week</w:t>
            </w:r>
          </w:p>
        </w:tc>
        <w:tc>
          <w:tcPr>
            <w:tcW w:w="585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Proposal (Written &amp; Presentation) (Major)</w:t>
            </w:r>
          </w:p>
          <w:p w:rsidR="00325116" w:rsidRDefault="00325116" w:rsidP="0079308C">
            <w:pPr>
              <w:cnfStyle w:val="000000100000" w:firstRow="0" w:lastRow="0" w:firstColumn="0" w:lastColumn="0" w:oddVBand="0" w:evenVBand="0" w:oddHBand="1" w:evenHBand="0" w:firstRowFirstColumn="0" w:firstRowLastColumn="0" w:lastRowFirstColumn="0" w:lastRowLastColumn="0"/>
            </w:pPr>
            <w:r>
              <w:t>Constructive Feedback on Another Group’s Presentation</w:t>
            </w:r>
          </w:p>
        </w:tc>
      </w:tr>
      <w:tr w:rsidR="00325116" w:rsidTr="00E615DD">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12</w:t>
            </w:r>
          </w:p>
        </w:tc>
        <w:tc>
          <w:tcPr>
            <w:tcW w:w="360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Module 12: Spring Break</w:t>
            </w:r>
          </w:p>
        </w:tc>
        <w:tc>
          <w:tcPr>
            <w:tcW w:w="585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p>
        </w:tc>
      </w:tr>
      <w:tr w:rsidR="00325116"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13</w:t>
            </w:r>
          </w:p>
        </w:tc>
        <w:tc>
          <w:tcPr>
            <w:tcW w:w="360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Module 13: Conducting Research</w:t>
            </w:r>
          </w:p>
        </w:tc>
        <w:tc>
          <w:tcPr>
            <w:tcW w:w="585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Research Activity</w:t>
            </w:r>
          </w:p>
        </w:tc>
      </w:tr>
      <w:tr w:rsidR="00325116" w:rsidTr="00E615DD">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14</w:t>
            </w:r>
          </w:p>
        </w:tc>
        <w:tc>
          <w:tcPr>
            <w:tcW w:w="360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Module 14: Reports</w:t>
            </w:r>
          </w:p>
        </w:tc>
        <w:tc>
          <w:tcPr>
            <w:tcW w:w="585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Progress Report Memo Activity</w:t>
            </w:r>
          </w:p>
        </w:tc>
      </w:tr>
      <w:tr w:rsidR="00325116" w:rsidTr="00E615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15</w:t>
            </w:r>
          </w:p>
        </w:tc>
        <w:tc>
          <w:tcPr>
            <w:tcW w:w="360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Module 15: Rough Draft Peer Reviews</w:t>
            </w:r>
          </w:p>
        </w:tc>
        <w:tc>
          <w:tcPr>
            <w:tcW w:w="5850" w:type="dxa"/>
          </w:tcPr>
          <w:p w:rsidR="00325116" w:rsidRDefault="00325116" w:rsidP="0079308C">
            <w:pPr>
              <w:cnfStyle w:val="000000100000" w:firstRow="0" w:lastRow="0" w:firstColumn="0" w:lastColumn="0" w:oddVBand="0" w:evenVBand="0" w:oddHBand="1" w:evenHBand="0" w:firstRowFirstColumn="0" w:firstRowLastColumn="0" w:lastRowFirstColumn="0" w:lastRowLastColumn="0"/>
            </w:pPr>
            <w:r>
              <w:t>Rough Draft Posted for Peer Review</w:t>
            </w:r>
          </w:p>
          <w:p w:rsidR="00325116" w:rsidRDefault="00325116" w:rsidP="0079308C">
            <w:pPr>
              <w:cnfStyle w:val="000000100000" w:firstRow="0" w:lastRow="0" w:firstColumn="0" w:lastColumn="0" w:oddVBand="0" w:evenVBand="0" w:oddHBand="1" w:evenHBand="0" w:firstRowFirstColumn="0" w:firstRowLastColumn="0" w:lastRowFirstColumn="0" w:lastRowLastColumn="0"/>
            </w:pPr>
            <w:r>
              <w:t>Conduct Peer Review on Two Groups (Not Your Own)</w:t>
            </w:r>
          </w:p>
        </w:tc>
      </w:tr>
      <w:tr w:rsidR="00325116" w:rsidTr="00E615DD">
        <w:tc>
          <w:tcPr>
            <w:cnfStyle w:val="001000000000" w:firstRow="0" w:lastRow="0" w:firstColumn="1" w:lastColumn="0" w:oddVBand="0" w:evenVBand="0" w:oddHBand="0" w:evenHBand="0" w:firstRowFirstColumn="0" w:firstRowLastColumn="0" w:lastRowFirstColumn="0" w:lastRowLastColumn="0"/>
            <w:tcW w:w="1170" w:type="dxa"/>
          </w:tcPr>
          <w:p w:rsidR="00325116" w:rsidRDefault="00325116" w:rsidP="0079308C">
            <w:r>
              <w:t>Week 16</w:t>
            </w:r>
          </w:p>
        </w:tc>
        <w:tc>
          <w:tcPr>
            <w:tcW w:w="360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Module 16: Final Deadlines</w:t>
            </w:r>
          </w:p>
        </w:tc>
        <w:tc>
          <w:tcPr>
            <w:tcW w:w="5850" w:type="dxa"/>
          </w:tcPr>
          <w:p w:rsidR="00325116" w:rsidRDefault="00325116" w:rsidP="0079308C">
            <w:pPr>
              <w:cnfStyle w:val="000000000000" w:firstRow="0" w:lastRow="0" w:firstColumn="0" w:lastColumn="0" w:oddVBand="0" w:evenVBand="0" w:oddHBand="0" w:evenHBand="0" w:firstRowFirstColumn="0" w:firstRowLastColumn="0" w:lastRowFirstColumn="0" w:lastRowLastColumn="0"/>
            </w:pPr>
            <w:r>
              <w:t>Technical Report (Major)</w:t>
            </w:r>
          </w:p>
          <w:p w:rsidR="00325116" w:rsidRDefault="00325116" w:rsidP="0079308C">
            <w:pPr>
              <w:cnfStyle w:val="000000000000" w:firstRow="0" w:lastRow="0" w:firstColumn="0" w:lastColumn="0" w:oddVBand="0" w:evenVBand="0" w:oddHBand="0" w:evenHBand="0" w:firstRowFirstColumn="0" w:firstRowLastColumn="0" w:lastRowFirstColumn="0" w:lastRowLastColumn="0"/>
            </w:pPr>
            <w:r>
              <w:t>Proposal &amp; Report Group Evaluations</w:t>
            </w:r>
          </w:p>
          <w:p w:rsidR="00325116" w:rsidRDefault="00325116" w:rsidP="0079308C">
            <w:pPr>
              <w:cnfStyle w:val="000000000000" w:firstRow="0" w:lastRow="0" w:firstColumn="0" w:lastColumn="0" w:oddVBand="0" w:evenVBand="0" w:oddHBand="0" w:evenHBand="0" w:firstRowFirstColumn="0" w:firstRowLastColumn="0" w:lastRowFirstColumn="0" w:lastRowLastColumn="0"/>
            </w:pPr>
            <w:r>
              <w:t>Reflection Letter</w:t>
            </w:r>
          </w:p>
          <w:p w:rsidR="00325116" w:rsidRDefault="00325116" w:rsidP="0079308C">
            <w:pPr>
              <w:cnfStyle w:val="000000000000" w:firstRow="0" w:lastRow="0" w:firstColumn="0" w:lastColumn="0" w:oddVBand="0" w:evenVBand="0" w:oddHBand="0" w:evenHBand="0" w:firstRowFirstColumn="0" w:firstRowLastColumn="0" w:lastRowFirstColumn="0" w:lastRowLastColumn="0"/>
            </w:pPr>
            <w:r>
              <w:t>Course Evaluations</w:t>
            </w:r>
          </w:p>
        </w:tc>
      </w:tr>
    </w:tbl>
    <w:p w:rsidR="00B75D6C" w:rsidRDefault="00B75D6C" w:rsidP="00B75D6C"/>
    <w:p w:rsidR="00B75D6C" w:rsidRDefault="00B75D6C" w:rsidP="00B75D6C">
      <w:pPr>
        <w:pStyle w:val="Heading2"/>
      </w:pPr>
      <w:r>
        <w:t>Important Dates</w:t>
      </w:r>
    </w:p>
    <w:p w:rsidR="00325116" w:rsidRPr="00325116" w:rsidRDefault="00B75D6C" w:rsidP="00C2694A">
      <w:pPr>
        <w:ind w:left="720"/>
      </w:pPr>
      <w:r>
        <w:t>Last day to withdraw without academic penalty: February 27</w:t>
      </w:r>
      <w:bookmarkStart w:id="0" w:name="_GoBack"/>
      <w:bookmarkEnd w:id="0"/>
    </w:p>
    <w:sectPr w:rsidR="00325116" w:rsidRPr="00325116" w:rsidSect="00461400">
      <w:pgSz w:w="12240" w:h="15840"/>
      <w:pgMar w:top="450" w:right="450" w:bottom="441"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929DD"/>
    <w:multiLevelType w:val="hybridMultilevel"/>
    <w:tmpl w:val="6590E3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00"/>
    <w:rsid w:val="000A5813"/>
    <w:rsid w:val="00325116"/>
    <w:rsid w:val="003A7419"/>
    <w:rsid w:val="00461400"/>
    <w:rsid w:val="004D239A"/>
    <w:rsid w:val="00681BA7"/>
    <w:rsid w:val="007235AD"/>
    <w:rsid w:val="00857EC0"/>
    <w:rsid w:val="009876CA"/>
    <w:rsid w:val="00B75D6C"/>
    <w:rsid w:val="00BA2F51"/>
    <w:rsid w:val="00C2694A"/>
    <w:rsid w:val="00E615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05F68"/>
  <w15:chartTrackingRefBased/>
  <w15:docId w15:val="{2ACF7613-CEEC-474A-870A-ECDF674E6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1400"/>
    <w:pPr>
      <w:keepNext/>
      <w:keepLines/>
      <w:spacing w:before="24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E615DD"/>
    <w:pPr>
      <w:keepNext/>
      <w:keepLines/>
      <w:spacing w:before="40"/>
      <w:ind w:left="720"/>
      <w:outlineLvl w:val="1"/>
    </w:pPr>
    <w:rPr>
      <w:rFonts w:asciiTheme="majorHAnsi" w:eastAsiaTheme="majorEastAsia" w:hAnsiTheme="majorHAnsi" w:cstheme="majorBid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140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140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1400"/>
    <w:rPr>
      <w:rFonts w:asciiTheme="majorHAnsi" w:eastAsiaTheme="majorEastAsia" w:hAnsiTheme="majorHAnsi" w:cstheme="majorBidi"/>
      <w:color w:val="000000" w:themeColor="text1"/>
      <w:sz w:val="32"/>
      <w:szCs w:val="32"/>
    </w:rPr>
  </w:style>
  <w:style w:type="character" w:styleId="Hyperlink">
    <w:name w:val="Hyperlink"/>
    <w:basedOn w:val="DefaultParagraphFont"/>
    <w:uiPriority w:val="99"/>
    <w:unhideWhenUsed/>
    <w:rsid w:val="00E615DD"/>
    <w:rPr>
      <w:color w:val="4472C4" w:themeColor="accent1"/>
      <w:u w:val="single"/>
    </w:rPr>
  </w:style>
  <w:style w:type="character" w:customStyle="1" w:styleId="UnresolvedMention1">
    <w:name w:val="Unresolved Mention1"/>
    <w:basedOn w:val="DefaultParagraphFont"/>
    <w:uiPriority w:val="99"/>
    <w:semiHidden/>
    <w:unhideWhenUsed/>
    <w:rsid w:val="00461400"/>
    <w:rPr>
      <w:color w:val="605E5C"/>
      <w:shd w:val="clear" w:color="auto" w:fill="E1DFDD"/>
    </w:rPr>
  </w:style>
  <w:style w:type="character" w:customStyle="1" w:styleId="Heading2Char">
    <w:name w:val="Heading 2 Char"/>
    <w:basedOn w:val="DefaultParagraphFont"/>
    <w:link w:val="Heading2"/>
    <w:uiPriority w:val="9"/>
    <w:rsid w:val="00E615DD"/>
    <w:rPr>
      <w:rFonts w:asciiTheme="majorHAnsi" w:eastAsiaTheme="majorEastAsia" w:hAnsiTheme="majorHAnsi" w:cstheme="majorBidi"/>
      <w:color w:val="4472C4" w:themeColor="accent1"/>
      <w:sz w:val="26"/>
      <w:szCs w:val="26"/>
    </w:rPr>
  </w:style>
  <w:style w:type="paragraph" w:styleId="ListParagraph">
    <w:name w:val="List Paragraph"/>
    <w:basedOn w:val="Normal"/>
    <w:uiPriority w:val="34"/>
    <w:qFormat/>
    <w:rsid w:val="00461400"/>
    <w:pPr>
      <w:ind w:left="720"/>
      <w:contextualSpacing/>
    </w:pPr>
  </w:style>
  <w:style w:type="table" w:styleId="TableGrid">
    <w:name w:val="Table Grid"/>
    <w:basedOn w:val="TableNormal"/>
    <w:uiPriority w:val="39"/>
    <w:rsid w:val="00BA2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BA2F51"/>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BA2F51"/>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CommentReference">
    <w:name w:val="annotation reference"/>
    <w:basedOn w:val="DefaultParagraphFont"/>
    <w:uiPriority w:val="99"/>
    <w:semiHidden/>
    <w:unhideWhenUsed/>
    <w:rsid w:val="009876CA"/>
    <w:rPr>
      <w:sz w:val="16"/>
      <w:szCs w:val="16"/>
    </w:rPr>
  </w:style>
  <w:style w:type="paragraph" w:styleId="CommentText">
    <w:name w:val="annotation text"/>
    <w:basedOn w:val="Normal"/>
    <w:link w:val="CommentTextChar"/>
    <w:uiPriority w:val="99"/>
    <w:semiHidden/>
    <w:unhideWhenUsed/>
    <w:rsid w:val="009876CA"/>
    <w:rPr>
      <w:sz w:val="20"/>
      <w:szCs w:val="20"/>
    </w:rPr>
  </w:style>
  <w:style w:type="character" w:customStyle="1" w:styleId="CommentTextChar">
    <w:name w:val="Comment Text Char"/>
    <w:basedOn w:val="DefaultParagraphFont"/>
    <w:link w:val="CommentText"/>
    <w:uiPriority w:val="99"/>
    <w:semiHidden/>
    <w:rsid w:val="009876CA"/>
    <w:rPr>
      <w:sz w:val="20"/>
      <w:szCs w:val="20"/>
    </w:rPr>
  </w:style>
  <w:style w:type="paragraph" w:styleId="CommentSubject">
    <w:name w:val="annotation subject"/>
    <w:basedOn w:val="CommentText"/>
    <w:next w:val="CommentText"/>
    <w:link w:val="CommentSubjectChar"/>
    <w:uiPriority w:val="99"/>
    <w:semiHidden/>
    <w:unhideWhenUsed/>
    <w:rsid w:val="009876CA"/>
    <w:rPr>
      <w:b/>
      <w:bCs/>
    </w:rPr>
  </w:style>
  <w:style w:type="character" w:customStyle="1" w:styleId="CommentSubjectChar">
    <w:name w:val="Comment Subject Char"/>
    <w:basedOn w:val="CommentTextChar"/>
    <w:link w:val="CommentSubject"/>
    <w:uiPriority w:val="99"/>
    <w:semiHidden/>
    <w:rsid w:val="009876CA"/>
    <w:rPr>
      <w:b/>
      <w:bCs/>
      <w:sz w:val="20"/>
      <w:szCs w:val="20"/>
    </w:rPr>
  </w:style>
  <w:style w:type="paragraph" w:styleId="BalloonText">
    <w:name w:val="Balloon Text"/>
    <w:basedOn w:val="Normal"/>
    <w:link w:val="BalloonTextChar"/>
    <w:uiPriority w:val="99"/>
    <w:semiHidden/>
    <w:unhideWhenUsed/>
    <w:rsid w:val="00987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6CA"/>
    <w:rPr>
      <w:rFonts w:ascii="Times New Roman" w:hAnsi="Times New Roman" w:cs="Times New Roman"/>
      <w:sz w:val="18"/>
      <w:szCs w:val="18"/>
    </w:rPr>
  </w:style>
  <w:style w:type="table" w:styleId="GridTable2-Accent1">
    <w:name w:val="Grid Table 2 Accent 1"/>
    <w:basedOn w:val="TableNormal"/>
    <w:uiPriority w:val="47"/>
    <w:rsid w:val="00E615DD"/>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073">
      <w:bodyDiv w:val="1"/>
      <w:marLeft w:val="0"/>
      <w:marRight w:val="0"/>
      <w:marTop w:val="0"/>
      <w:marBottom w:val="0"/>
      <w:divBdr>
        <w:top w:val="none" w:sz="0" w:space="0" w:color="auto"/>
        <w:left w:val="none" w:sz="0" w:space="0" w:color="auto"/>
        <w:bottom w:val="none" w:sz="0" w:space="0" w:color="auto"/>
        <w:right w:val="none" w:sz="0" w:space="0" w:color="auto"/>
      </w:divBdr>
    </w:div>
    <w:div w:id="68817747">
      <w:bodyDiv w:val="1"/>
      <w:marLeft w:val="0"/>
      <w:marRight w:val="0"/>
      <w:marTop w:val="0"/>
      <w:marBottom w:val="0"/>
      <w:divBdr>
        <w:top w:val="none" w:sz="0" w:space="0" w:color="auto"/>
        <w:left w:val="none" w:sz="0" w:space="0" w:color="auto"/>
        <w:bottom w:val="none" w:sz="0" w:space="0" w:color="auto"/>
        <w:right w:val="none" w:sz="0" w:space="0" w:color="auto"/>
      </w:divBdr>
    </w:div>
    <w:div w:id="117653876">
      <w:bodyDiv w:val="1"/>
      <w:marLeft w:val="0"/>
      <w:marRight w:val="0"/>
      <w:marTop w:val="0"/>
      <w:marBottom w:val="0"/>
      <w:divBdr>
        <w:top w:val="none" w:sz="0" w:space="0" w:color="auto"/>
        <w:left w:val="none" w:sz="0" w:space="0" w:color="auto"/>
        <w:bottom w:val="none" w:sz="0" w:space="0" w:color="auto"/>
        <w:right w:val="none" w:sz="0" w:space="0" w:color="auto"/>
      </w:divBdr>
    </w:div>
    <w:div w:id="202134452">
      <w:bodyDiv w:val="1"/>
      <w:marLeft w:val="0"/>
      <w:marRight w:val="0"/>
      <w:marTop w:val="0"/>
      <w:marBottom w:val="0"/>
      <w:divBdr>
        <w:top w:val="none" w:sz="0" w:space="0" w:color="auto"/>
        <w:left w:val="none" w:sz="0" w:space="0" w:color="auto"/>
        <w:bottom w:val="none" w:sz="0" w:space="0" w:color="auto"/>
        <w:right w:val="none" w:sz="0" w:space="0" w:color="auto"/>
      </w:divBdr>
    </w:div>
    <w:div w:id="293026096">
      <w:bodyDiv w:val="1"/>
      <w:marLeft w:val="0"/>
      <w:marRight w:val="0"/>
      <w:marTop w:val="0"/>
      <w:marBottom w:val="0"/>
      <w:divBdr>
        <w:top w:val="none" w:sz="0" w:space="0" w:color="auto"/>
        <w:left w:val="none" w:sz="0" w:space="0" w:color="auto"/>
        <w:bottom w:val="none" w:sz="0" w:space="0" w:color="auto"/>
        <w:right w:val="none" w:sz="0" w:space="0" w:color="auto"/>
      </w:divBdr>
    </w:div>
    <w:div w:id="303513126">
      <w:bodyDiv w:val="1"/>
      <w:marLeft w:val="0"/>
      <w:marRight w:val="0"/>
      <w:marTop w:val="0"/>
      <w:marBottom w:val="0"/>
      <w:divBdr>
        <w:top w:val="none" w:sz="0" w:space="0" w:color="auto"/>
        <w:left w:val="none" w:sz="0" w:space="0" w:color="auto"/>
        <w:bottom w:val="none" w:sz="0" w:space="0" w:color="auto"/>
        <w:right w:val="none" w:sz="0" w:space="0" w:color="auto"/>
      </w:divBdr>
    </w:div>
    <w:div w:id="336352484">
      <w:bodyDiv w:val="1"/>
      <w:marLeft w:val="0"/>
      <w:marRight w:val="0"/>
      <w:marTop w:val="0"/>
      <w:marBottom w:val="0"/>
      <w:divBdr>
        <w:top w:val="none" w:sz="0" w:space="0" w:color="auto"/>
        <w:left w:val="none" w:sz="0" w:space="0" w:color="auto"/>
        <w:bottom w:val="none" w:sz="0" w:space="0" w:color="auto"/>
        <w:right w:val="none" w:sz="0" w:space="0" w:color="auto"/>
      </w:divBdr>
    </w:div>
    <w:div w:id="380440839">
      <w:bodyDiv w:val="1"/>
      <w:marLeft w:val="0"/>
      <w:marRight w:val="0"/>
      <w:marTop w:val="0"/>
      <w:marBottom w:val="0"/>
      <w:divBdr>
        <w:top w:val="none" w:sz="0" w:space="0" w:color="auto"/>
        <w:left w:val="none" w:sz="0" w:space="0" w:color="auto"/>
        <w:bottom w:val="none" w:sz="0" w:space="0" w:color="auto"/>
        <w:right w:val="none" w:sz="0" w:space="0" w:color="auto"/>
      </w:divBdr>
    </w:div>
    <w:div w:id="547498924">
      <w:bodyDiv w:val="1"/>
      <w:marLeft w:val="0"/>
      <w:marRight w:val="0"/>
      <w:marTop w:val="0"/>
      <w:marBottom w:val="0"/>
      <w:divBdr>
        <w:top w:val="none" w:sz="0" w:space="0" w:color="auto"/>
        <w:left w:val="none" w:sz="0" w:space="0" w:color="auto"/>
        <w:bottom w:val="none" w:sz="0" w:space="0" w:color="auto"/>
        <w:right w:val="none" w:sz="0" w:space="0" w:color="auto"/>
      </w:divBdr>
    </w:div>
    <w:div w:id="723600566">
      <w:bodyDiv w:val="1"/>
      <w:marLeft w:val="0"/>
      <w:marRight w:val="0"/>
      <w:marTop w:val="0"/>
      <w:marBottom w:val="0"/>
      <w:divBdr>
        <w:top w:val="none" w:sz="0" w:space="0" w:color="auto"/>
        <w:left w:val="none" w:sz="0" w:space="0" w:color="auto"/>
        <w:bottom w:val="none" w:sz="0" w:space="0" w:color="auto"/>
        <w:right w:val="none" w:sz="0" w:space="0" w:color="auto"/>
      </w:divBdr>
    </w:div>
    <w:div w:id="741097326">
      <w:bodyDiv w:val="1"/>
      <w:marLeft w:val="0"/>
      <w:marRight w:val="0"/>
      <w:marTop w:val="0"/>
      <w:marBottom w:val="0"/>
      <w:divBdr>
        <w:top w:val="none" w:sz="0" w:space="0" w:color="auto"/>
        <w:left w:val="none" w:sz="0" w:space="0" w:color="auto"/>
        <w:bottom w:val="none" w:sz="0" w:space="0" w:color="auto"/>
        <w:right w:val="none" w:sz="0" w:space="0" w:color="auto"/>
      </w:divBdr>
    </w:div>
    <w:div w:id="785777731">
      <w:bodyDiv w:val="1"/>
      <w:marLeft w:val="0"/>
      <w:marRight w:val="0"/>
      <w:marTop w:val="0"/>
      <w:marBottom w:val="0"/>
      <w:divBdr>
        <w:top w:val="none" w:sz="0" w:space="0" w:color="auto"/>
        <w:left w:val="none" w:sz="0" w:space="0" w:color="auto"/>
        <w:bottom w:val="none" w:sz="0" w:space="0" w:color="auto"/>
        <w:right w:val="none" w:sz="0" w:space="0" w:color="auto"/>
      </w:divBdr>
    </w:div>
    <w:div w:id="883296651">
      <w:bodyDiv w:val="1"/>
      <w:marLeft w:val="0"/>
      <w:marRight w:val="0"/>
      <w:marTop w:val="0"/>
      <w:marBottom w:val="0"/>
      <w:divBdr>
        <w:top w:val="none" w:sz="0" w:space="0" w:color="auto"/>
        <w:left w:val="none" w:sz="0" w:space="0" w:color="auto"/>
        <w:bottom w:val="none" w:sz="0" w:space="0" w:color="auto"/>
        <w:right w:val="none" w:sz="0" w:space="0" w:color="auto"/>
      </w:divBdr>
    </w:div>
    <w:div w:id="1119879328">
      <w:bodyDiv w:val="1"/>
      <w:marLeft w:val="0"/>
      <w:marRight w:val="0"/>
      <w:marTop w:val="0"/>
      <w:marBottom w:val="0"/>
      <w:divBdr>
        <w:top w:val="none" w:sz="0" w:space="0" w:color="auto"/>
        <w:left w:val="none" w:sz="0" w:space="0" w:color="auto"/>
        <w:bottom w:val="none" w:sz="0" w:space="0" w:color="auto"/>
        <w:right w:val="none" w:sz="0" w:space="0" w:color="auto"/>
      </w:divBdr>
    </w:div>
    <w:div w:id="1169251703">
      <w:bodyDiv w:val="1"/>
      <w:marLeft w:val="0"/>
      <w:marRight w:val="0"/>
      <w:marTop w:val="0"/>
      <w:marBottom w:val="0"/>
      <w:divBdr>
        <w:top w:val="none" w:sz="0" w:space="0" w:color="auto"/>
        <w:left w:val="none" w:sz="0" w:space="0" w:color="auto"/>
        <w:bottom w:val="none" w:sz="0" w:space="0" w:color="auto"/>
        <w:right w:val="none" w:sz="0" w:space="0" w:color="auto"/>
      </w:divBdr>
    </w:div>
    <w:div w:id="1262883880">
      <w:bodyDiv w:val="1"/>
      <w:marLeft w:val="0"/>
      <w:marRight w:val="0"/>
      <w:marTop w:val="0"/>
      <w:marBottom w:val="0"/>
      <w:divBdr>
        <w:top w:val="none" w:sz="0" w:space="0" w:color="auto"/>
        <w:left w:val="none" w:sz="0" w:space="0" w:color="auto"/>
        <w:bottom w:val="none" w:sz="0" w:space="0" w:color="auto"/>
        <w:right w:val="none" w:sz="0" w:space="0" w:color="auto"/>
      </w:divBdr>
    </w:div>
    <w:div w:id="1321032896">
      <w:bodyDiv w:val="1"/>
      <w:marLeft w:val="0"/>
      <w:marRight w:val="0"/>
      <w:marTop w:val="0"/>
      <w:marBottom w:val="0"/>
      <w:divBdr>
        <w:top w:val="none" w:sz="0" w:space="0" w:color="auto"/>
        <w:left w:val="none" w:sz="0" w:space="0" w:color="auto"/>
        <w:bottom w:val="none" w:sz="0" w:space="0" w:color="auto"/>
        <w:right w:val="none" w:sz="0" w:space="0" w:color="auto"/>
      </w:divBdr>
    </w:div>
    <w:div w:id="1343776124">
      <w:bodyDiv w:val="1"/>
      <w:marLeft w:val="0"/>
      <w:marRight w:val="0"/>
      <w:marTop w:val="0"/>
      <w:marBottom w:val="0"/>
      <w:divBdr>
        <w:top w:val="none" w:sz="0" w:space="0" w:color="auto"/>
        <w:left w:val="none" w:sz="0" w:space="0" w:color="auto"/>
        <w:bottom w:val="none" w:sz="0" w:space="0" w:color="auto"/>
        <w:right w:val="none" w:sz="0" w:space="0" w:color="auto"/>
      </w:divBdr>
    </w:div>
    <w:div w:id="1400060086">
      <w:bodyDiv w:val="1"/>
      <w:marLeft w:val="0"/>
      <w:marRight w:val="0"/>
      <w:marTop w:val="0"/>
      <w:marBottom w:val="0"/>
      <w:divBdr>
        <w:top w:val="none" w:sz="0" w:space="0" w:color="auto"/>
        <w:left w:val="none" w:sz="0" w:space="0" w:color="auto"/>
        <w:bottom w:val="none" w:sz="0" w:space="0" w:color="auto"/>
        <w:right w:val="none" w:sz="0" w:space="0" w:color="auto"/>
      </w:divBdr>
    </w:div>
    <w:div w:id="1443258675">
      <w:bodyDiv w:val="1"/>
      <w:marLeft w:val="0"/>
      <w:marRight w:val="0"/>
      <w:marTop w:val="0"/>
      <w:marBottom w:val="0"/>
      <w:divBdr>
        <w:top w:val="none" w:sz="0" w:space="0" w:color="auto"/>
        <w:left w:val="none" w:sz="0" w:space="0" w:color="auto"/>
        <w:bottom w:val="none" w:sz="0" w:space="0" w:color="auto"/>
        <w:right w:val="none" w:sz="0" w:space="0" w:color="auto"/>
      </w:divBdr>
    </w:div>
    <w:div w:id="1523013345">
      <w:bodyDiv w:val="1"/>
      <w:marLeft w:val="0"/>
      <w:marRight w:val="0"/>
      <w:marTop w:val="0"/>
      <w:marBottom w:val="0"/>
      <w:divBdr>
        <w:top w:val="none" w:sz="0" w:space="0" w:color="auto"/>
        <w:left w:val="none" w:sz="0" w:space="0" w:color="auto"/>
        <w:bottom w:val="none" w:sz="0" w:space="0" w:color="auto"/>
        <w:right w:val="none" w:sz="0" w:space="0" w:color="auto"/>
      </w:divBdr>
    </w:div>
    <w:div w:id="1540823597">
      <w:bodyDiv w:val="1"/>
      <w:marLeft w:val="0"/>
      <w:marRight w:val="0"/>
      <w:marTop w:val="0"/>
      <w:marBottom w:val="0"/>
      <w:divBdr>
        <w:top w:val="none" w:sz="0" w:space="0" w:color="auto"/>
        <w:left w:val="none" w:sz="0" w:space="0" w:color="auto"/>
        <w:bottom w:val="none" w:sz="0" w:space="0" w:color="auto"/>
        <w:right w:val="none" w:sz="0" w:space="0" w:color="auto"/>
      </w:divBdr>
    </w:div>
    <w:div w:id="1543593787">
      <w:bodyDiv w:val="1"/>
      <w:marLeft w:val="0"/>
      <w:marRight w:val="0"/>
      <w:marTop w:val="0"/>
      <w:marBottom w:val="0"/>
      <w:divBdr>
        <w:top w:val="none" w:sz="0" w:space="0" w:color="auto"/>
        <w:left w:val="none" w:sz="0" w:space="0" w:color="auto"/>
        <w:bottom w:val="none" w:sz="0" w:space="0" w:color="auto"/>
        <w:right w:val="none" w:sz="0" w:space="0" w:color="auto"/>
      </w:divBdr>
    </w:div>
    <w:div w:id="1622803954">
      <w:bodyDiv w:val="1"/>
      <w:marLeft w:val="0"/>
      <w:marRight w:val="0"/>
      <w:marTop w:val="0"/>
      <w:marBottom w:val="0"/>
      <w:divBdr>
        <w:top w:val="none" w:sz="0" w:space="0" w:color="auto"/>
        <w:left w:val="none" w:sz="0" w:space="0" w:color="auto"/>
        <w:bottom w:val="none" w:sz="0" w:space="0" w:color="auto"/>
        <w:right w:val="none" w:sz="0" w:space="0" w:color="auto"/>
      </w:divBdr>
    </w:div>
    <w:div w:id="1831024411">
      <w:bodyDiv w:val="1"/>
      <w:marLeft w:val="0"/>
      <w:marRight w:val="0"/>
      <w:marTop w:val="0"/>
      <w:marBottom w:val="0"/>
      <w:divBdr>
        <w:top w:val="none" w:sz="0" w:space="0" w:color="auto"/>
        <w:left w:val="none" w:sz="0" w:space="0" w:color="auto"/>
        <w:bottom w:val="none" w:sz="0" w:space="0" w:color="auto"/>
        <w:right w:val="none" w:sz="0" w:space="0" w:color="auto"/>
      </w:divBdr>
    </w:div>
    <w:div w:id="1838185495">
      <w:bodyDiv w:val="1"/>
      <w:marLeft w:val="0"/>
      <w:marRight w:val="0"/>
      <w:marTop w:val="0"/>
      <w:marBottom w:val="0"/>
      <w:divBdr>
        <w:top w:val="none" w:sz="0" w:space="0" w:color="auto"/>
        <w:left w:val="none" w:sz="0" w:space="0" w:color="auto"/>
        <w:bottom w:val="none" w:sz="0" w:space="0" w:color="auto"/>
        <w:right w:val="none" w:sz="0" w:space="0" w:color="auto"/>
      </w:divBdr>
    </w:div>
    <w:div w:id="1883201536">
      <w:bodyDiv w:val="1"/>
      <w:marLeft w:val="0"/>
      <w:marRight w:val="0"/>
      <w:marTop w:val="0"/>
      <w:marBottom w:val="0"/>
      <w:divBdr>
        <w:top w:val="none" w:sz="0" w:space="0" w:color="auto"/>
        <w:left w:val="none" w:sz="0" w:space="0" w:color="auto"/>
        <w:bottom w:val="none" w:sz="0" w:space="0" w:color="auto"/>
        <w:right w:val="none" w:sz="0" w:space="0" w:color="auto"/>
      </w:divBdr>
    </w:div>
    <w:div w:id="2055306394">
      <w:bodyDiv w:val="1"/>
      <w:marLeft w:val="0"/>
      <w:marRight w:val="0"/>
      <w:marTop w:val="0"/>
      <w:marBottom w:val="0"/>
      <w:divBdr>
        <w:top w:val="none" w:sz="0" w:space="0" w:color="auto"/>
        <w:left w:val="none" w:sz="0" w:space="0" w:color="auto"/>
        <w:bottom w:val="none" w:sz="0" w:space="0" w:color="auto"/>
        <w:right w:val="none" w:sz="0" w:space="0" w:color="auto"/>
      </w:divBdr>
    </w:div>
    <w:div w:id="211112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rdo2@kennesaw.edu" TargetMode="External"/><Relationship Id="rId13" Type="http://schemas.openxmlformats.org/officeDocument/2006/relationships/hyperlink" Target="http://sds.kennesaw.edu/" TargetMode="External"/><Relationship Id="rId18" Type="http://schemas.openxmlformats.org/officeDocument/2006/relationships/hyperlink" Target="mailto:studenthelpdesk@kennesaw.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treardo2@kennesaw.edu" TargetMode="External"/><Relationship Id="rId12" Type="http://schemas.openxmlformats.org/officeDocument/2006/relationships/hyperlink" Target="https://softchalkcloud.com/lesson/serve/TuDnUfmV9R1FsO/html" TargetMode="External"/><Relationship Id="rId17" Type="http://schemas.openxmlformats.org/officeDocument/2006/relationships/hyperlink" Target="https://web.kennesaw.edu/scai/content/ksu-student-code-conduct" TargetMode="External"/><Relationship Id="rId2" Type="http://schemas.openxmlformats.org/officeDocument/2006/relationships/styles" Target="styles.xml"/><Relationship Id="rId16" Type="http://schemas.openxmlformats.org/officeDocument/2006/relationships/hyperlink" Target="http://curriculum.kennesaw.edu/resources/ksu_student_resources_for_course_syllabus.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chss.kennesaw.edu/tcid/" TargetMode="External"/><Relationship Id="rId11" Type="http://schemas.openxmlformats.org/officeDocument/2006/relationships/hyperlink" Target="http://uits.kennesaw.edu/office365/" TargetMode="External"/><Relationship Id="rId5" Type="http://schemas.openxmlformats.org/officeDocument/2006/relationships/hyperlink" Target="http://chss.kennesaw.edu/" TargetMode="External"/><Relationship Id="rId15" Type="http://schemas.openxmlformats.org/officeDocument/2006/relationships/hyperlink" Target="http://curriculum.kennesaw.edu/resources/federal_bor_ksu_student_policies.php" TargetMode="External"/><Relationship Id="rId10" Type="http://schemas.openxmlformats.org/officeDocument/2006/relationships/hyperlink" Target="http://uits.kennesaw.edu/ksumail/" TargetMode="External"/><Relationship Id="rId19" Type="http://schemas.openxmlformats.org/officeDocument/2006/relationships/hyperlink" Target="http://writingcenter.kennesaw.edu/" TargetMode="External"/><Relationship Id="rId4" Type="http://schemas.openxmlformats.org/officeDocument/2006/relationships/webSettings" Target="webSettings.xml"/><Relationship Id="rId9" Type="http://schemas.openxmlformats.org/officeDocument/2006/relationships/hyperlink" Target="http://sexytechcom.com/" TargetMode="External"/><Relationship Id="rId14" Type="http://schemas.openxmlformats.org/officeDocument/2006/relationships/hyperlink" Target="http://sds.kennesaw.edu/conta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Tiffani Reardon</dc:creator>
  <cp:keywords/>
  <dc:description/>
  <cp:lastModifiedBy>Tiffani Reardon</cp:lastModifiedBy>
  <cp:revision>2</cp:revision>
  <dcterms:created xsi:type="dcterms:W3CDTF">2019-04-30T19:25:00Z</dcterms:created>
  <dcterms:modified xsi:type="dcterms:W3CDTF">2019-04-30T19:25:00Z</dcterms:modified>
</cp:coreProperties>
</file>